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216" w:lineRule="auto" w:before="123"/>
        <w:ind w:left="394" w:right="835" w:hanging="294"/>
        <w:jc w:val="left"/>
        <w:rPr>
          <w:rFonts w:ascii="Palatino Linotype" w:hAnsi="Palatino Linotype"/>
          <w:sz w:val="33"/>
        </w:rPr>
      </w:pPr>
      <w:bookmarkStart w:name="1. Mass displacement caused by conflicts" w:id="1"/>
      <w:bookmarkEnd w:id="1"/>
      <w:r>
        <w:rPr/>
      </w:r>
      <w:bookmarkStart w:name="I. Introduction" w:id="2"/>
      <w:bookmarkEnd w:id="2"/>
      <w:r>
        <w:rPr/>
      </w:r>
      <w:r>
        <w:rPr>
          <w:rFonts w:ascii="Calibri" w:hAnsi="Calibri"/>
          <w:b/>
          <w:color w:val="231F20"/>
          <w:sz w:val="33"/>
        </w:rPr>
        <w:t>1.</w:t>
      </w:r>
      <w:r>
        <w:rPr>
          <w:rFonts w:ascii="Calibri" w:hAnsi="Calibri"/>
          <w:b/>
          <w:color w:val="231F20"/>
          <w:spacing w:val="-34"/>
          <w:sz w:val="33"/>
        </w:rPr>
        <w:t> </w:t>
      </w:r>
      <w:r>
        <w:rPr>
          <w:rFonts w:ascii="Palatino Linotype" w:hAnsi="Palatino Linotype"/>
          <w:color w:val="231F20"/>
          <w:sz w:val="33"/>
        </w:rPr>
        <w:t>Mass</w:t>
      </w:r>
      <w:r>
        <w:rPr>
          <w:rFonts w:ascii="Palatino Linotype" w:hAnsi="Palatino Linotype"/>
          <w:color w:val="231F20"/>
          <w:spacing w:val="-41"/>
          <w:sz w:val="33"/>
        </w:rPr>
        <w:t> </w:t>
      </w:r>
      <w:r>
        <w:rPr>
          <w:rFonts w:ascii="Palatino Linotype" w:hAnsi="Palatino Linotype"/>
          <w:color w:val="231F20"/>
          <w:sz w:val="33"/>
        </w:rPr>
        <w:t>displacement</w:t>
      </w:r>
      <w:r>
        <w:rPr>
          <w:rFonts w:ascii="Palatino Linotype" w:hAnsi="Palatino Linotype"/>
          <w:color w:val="231F20"/>
          <w:spacing w:val="-41"/>
          <w:sz w:val="33"/>
        </w:rPr>
        <w:t> </w:t>
      </w:r>
      <w:r>
        <w:rPr>
          <w:rFonts w:ascii="Palatino Linotype" w:hAnsi="Palatino Linotype"/>
          <w:color w:val="231F20"/>
          <w:sz w:val="33"/>
        </w:rPr>
        <w:t>caused</w:t>
      </w:r>
      <w:r>
        <w:rPr>
          <w:rFonts w:ascii="Palatino Linotype" w:hAnsi="Palatino Linotype"/>
          <w:color w:val="231F20"/>
          <w:spacing w:val="-41"/>
          <w:sz w:val="33"/>
        </w:rPr>
        <w:t> </w:t>
      </w:r>
      <w:r>
        <w:rPr>
          <w:rFonts w:ascii="Palatino Linotype" w:hAnsi="Palatino Linotype"/>
          <w:color w:val="231F20"/>
          <w:sz w:val="33"/>
        </w:rPr>
        <w:t>by</w:t>
      </w:r>
      <w:r>
        <w:rPr>
          <w:rFonts w:ascii="Palatino Linotype" w:hAnsi="Palatino Linotype"/>
          <w:color w:val="231F20"/>
          <w:spacing w:val="-41"/>
          <w:sz w:val="33"/>
        </w:rPr>
        <w:t> </w:t>
      </w:r>
      <w:r>
        <w:rPr>
          <w:rFonts w:ascii="Palatino Linotype" w:hAnsi="Palatino Linotype"/>
          <w:color w:val="231F20"/>
          <w:sz w:val="33"/>
        </w:rPr>
        <w:t>conﬂicts and one-sided violence: national and international</w:t>
      </w:r>
      <w:r>
        <w:rPr>
          <w:rFonts w:ascii="Palatino Linotype" w:hAnsi="Palatino Linotype"/>
          <w:color w:val="231F20"/>
          <w:spacing w:val="-5"/>
          <w:sz w:val="33"/>
        </w:rPr>
        <w:t> </w:t>
      </w:r>
      <w:r>
        <w:rPr>
          <w:rFonts w:ascii="Palatino Linotype" w:hAnsi="Palatino Linotype"/>
          <w:color w:val="231F20"/>
          <w:sz w:val="33"/>
        </w:rPr>
        <w:t>responses</w:t>
      </w:r>
    </w:p>
    <w:p>
      <w:pPr>
        <w:spacing w:before="318"/>
        <w:ind w:left="100" w:right="0" w:firstLine="0"/>
        <w:jc w:val="both"/>
        <w:rPr>
          <w:sz w:val="19"/>
        </w:rPr>
      </w:pPr>
      <w:r>
        <w:rPr>
          <w:color w:val="231F20"/>
          <w:spacing w:val="9"/>
          <w:sz w:val="16"/>
        </w:rPr>
        <w:t>ROBERTA </w:t>
      </w:r>
      <w:r>
        <w:rPr>
          <w:color w:val="231F20"/>
          <w:spacing w:val="8"/>
          <w:sz w:val="16"/>
        </w:rPr>
        <w:t>COHEN </w:t>
      </w:r>
      <w:r>
        <w:rPr>
          <w:color w:val="231F20"/>
          <w:spacing w:val="7"/>
          <w:sz w:val="16"/>
        </w:rPr>
        <w:t>AND </w:t>
      </w:r>
      <w:r>
        <w:rPr>
          <w:color w:val="231F20"/>
          <w:spacing w:val="9"/>
          <w:sz w:val="16"/>
        </w:rPr>
        <w:t>FRANCIS </w:t>
      </w:r>
      <w:r>
        <w:rPr>
          <w:color w:val="231F20"/>
          <w:spacing w:val="6"/>
          <w:sz w:val="16"/>
        </w:rPr>
        <w:t>M</w:t>
      </w:r>
      <w:r>
        <w:rPr>
          <w:color w:val="231F20"/>
          <w:spacing w:val="6"/>
          <w:sz w:val="19"/>
        </w:rPr>
        <w:t>.</w:t>
      </w:r>
      <w:r>
        <w:rPr>
          <w:color w:val="231F20"/>
          <w:spacing w:val="-9"/>
          <w:sz w:val="19"/>
        </w:rPr>
        <w:t> </w:t>
      </w:r>
      <w:r>
        <w:rPr>
          <w:color w:val="231F20"/>
          <w:spacing w:val="8"/>
          <w:sz w:val="16"/>
        </w:rPr>
        <w:t>DENG</w:t>
      </w:r>
      <w:r>
        <w:rPr>
          <w:color w:val="231F20"/>
          <w:spacing w:val="8"/>
          <w:sz w:val="19"/>
        </w:rPr>
        <w:t>*</w:t>
      </w:r>
    </w:p>
    <w:p>
      <w:pPr>
        <w:pStyle w:val="BodyText"/>
        <w:spacing w:before="6"/>
        <w:ind w:left="0"/>
        <w:jc w:val="left"/>
        <w:rPr>
          <w:sz w:val="31"/>
        </w:rPr>
      </w:pPr>
    </w:p>
    <w:p>
      <w:pPr>
        <w:pStyle w:val="Heading1"/>
        <w:numPr>
          <w:ilvl w:val="0"/>
          <w:numId w:val="1"/>
        </w:numPr>
        <w:tabs>
          <w:tab w:pos="316" w:val="left" w:leader="none"/>
        </w:tabs>
        <w:spacing w:line="240" w:lineRule="auto" w:before="0" w:after="0"/>
        <w:ind w:left="315" w:right="0" w:hanging="216"/>
        <w:jc w:val="left"/>
      </w:pPr>
      <w:r>
        <w:rPr>
          <w:color w:val="231F20"/>
        </w:rPr>
        <w:t>Introduction</w:t>
      </w:r>
    </w:p>
    <w:p>
      <w:pPr>
        <w:pStyle w:val="BodyText"/>
        <w:spacing w:line="278" w:lineRule="auto" w:before="188"/>
        <w:ind w:right="116"/>
      </w:pPr>
      <w:r>
        <w:rPr>
          <w:color w:val="231F20"/>
        </w:rPr>
        <w:t>Massive displacement of people within countries and across borders has become a deﬁning feature of the post-cold war world. It is also a major feature of human insecurity in  which  genocide,  terrorism,  egregious human rights violations and appalling human degradation wreak havoc on civilians. The need of internally displaced persons (IDPs), people forcibly uprooted in their own countries, for international protection from conﬂict and one-sided violence was one of the factors that prompted a  shift  in  global policy and security thinking. Over the past two decades, a strictly state-centred system in which sovereignty was absolute  has  evolved  into one in which the behaviour of states towards  their  own  citizens  has  become a matter of international concern and scrutiny. This evolution  largely grew from the efforts of the human rights  movement,  which  had long championed the view that the rights of people transcend frontiers and that the international community must hold governments to account when they fail to meet their obligations. It also arose from the efforts of the humanitarian community to reach people in need. The deployment of large numbers of relief workers and peacekeeping operations in the ﬁeld to pro- tect civilians reﬂects this new reality as do preventive and peacebuilding efforts.</w:t>
      </w:r>
    </w:p>
    <w:p>
      <w:pPr>
        <w:pStyle w:val="BodyText"/>
        <w:spacing w:line="278" w:lineRule="auto"/>
        <w:ind w:right="116" w:firstLine="180"/>
      </w:pPr>
      <w:r>
        <w:rPr>
          <w:color w:val="231F20"/>
        </w:rPr>
        <w:t>Nonetheless, concepts of sovereignty as responsibility and the responsi- bility to protect remain far ahead of international willingness and capacity   to enforce them. The failure of states to protect their citizens has too often met with a weak international response. It is therefore critical that the  United Nations, concerned governments, regional bodies and civil society assist states in developing their own capacities to prevent mass atrocities while also pressing for the development of the tools needed to enable the international community to take assertive action when persuasive  meas- ures fail and masses of people remain under the threat of violence and humanitarian</w:t>
      </w:r>
      <w:r>
        <w:rPr>
          <w:color w:val="231F20"/>
          <w:spacing w:val="-1"/>
        </w:rPr>
        <w:t> </w:t>
      </w:r>
      <w:r>
        <w:rPr>
          <w:color w:val="231F20"/>
        </w:rPr>
        <w:t>tragedy.</w:t>
      </w:r>
    </w:p>
    <w:p>
      <w:pPr>
        <w:spacing w:line="206" w:lineRule="auto" w:before="170"/>
        <w:ind w:left="100" w:right="121" w:firstLine="0"/>
        <w:jc w:val="both"/>
        <w:rPr>
          <w:rFonts w:ascii="Palatino Linotype"/>
          <w:sz w:val="17"/>
        </w:rPr>
      </w:pPr>
      <w:r>
        <w:rPr>
          <w:rFonts w:ascii="Palatino Linotype"/>
          <w:color w:val="231F20"/>
          <w:sz w:val="17"/>
        </w:rPr>
        <w:t>*</w:t>
      </w:r>
      <w:r>
        <w:rPr>
          <w:rFonts w:ascii="Palatino Linotype"/>
          <w:color w:val="231F20"/>
          <w:spacing w:val="-15"/>
          <w:sz w:val="17"/>
        </w:rPr>
        <w:t> </w:t>
      </w:r>
      <w:r>
        <w:rPr>
          <w:rFonts w:ascii="Palatino Linotype"/>
          <w:color w:val="231F20"/>
          <w:sz w:val="17"/>
        </w:rPr>
        <w:t>The</w:t>
      </w:r>
      <w:r>
        <w:rPr>
          <w:rFonts w:ascii="Palatino Linotype"/>
          <w:color w:val="231F20"/>
          <w:spacing w:val="-14"/>
          <w:sz w:val="17"/>
        </w:rPr>
        <w:t> </w:t>
      </w:r>
      <w:r>
        <w:rPr>
          <w:rFonts w:ascii="Palatino Linotype"/>
          <w:color w:val="231F20"/>
          <w:sz w:val="17"/>
        </w:rPr>
        <w:t>authors</w:t>
      </w:r>
      <w:r>
        <w:rPr>
          <w:rFonts w:ascii="Palatino Linotype"/>
          <w:color w:val="231F20"/>
          <w:spacing w:val="-13"/>
          <w:sz w:val="17"/>
        </w:rPr>
        <w:t> </w:t>
      </w:r>
      <w:r>
        <w:rPr>
          <w:rFonts w:ascii="Palatino Linotype"/>
          <w:color w:val="231F20"/>
          <w:sz w:val="17"/>
        </w:rPr>
        <w:t>thank</w:t>
      </w:r>
      <w:r>
        <w:rPr>
          <w:rFonts w:ascii="Palatino Linotype"/>
          <w:color w:val="231F20"/>
          <w:spacing w:val="-14"/>
          <w:sz w:val="17"/>
        </w:rPr>
        <w:t> </w:t>
      </w:r>
      <w:r>
        <w:rPr>
          <w:rFonts w:ascii="Palatino Linotype"/>
          <w:color w:val="231F20"/>
          <w:sz w:val="17"/>
        </w:rPr>
        <w:t>Kathryn</w:t>
      </w:r>
      <w:r>
        <w:rPr>
          <w:rFonts w:ascii="Palatino Linotype"/>
          <w:color w:val="231F20"/>
          <w:spacing w:val="-13"/>
          <w:sz w:val="17"/>
        </w:rPr>
        <w:t> </w:t>
      </w:r>
      <w:r>
        <w:rPr>
          <w:rFonts w:ascii="Palatino Linotype"/>
          <w:color w:val="231F20"/>
          <w:sz w:val="17"/>
        </w:rPr>
        <w:t>Plummer</w:t>
      </w:r>
      <w:r>
        <w:rPr>
          <w:rFonts w:ascii="Palatino Linotype"/>
          <w:color w:val="231F20"/>
          <w:spacing w:val="-13"/>
          <w:sz w:val="17"/>
        </w:rPr>
        <w:t> </w:t>
      </w:r>
      <w:r>
        <w:rPr>
          <w:rFonts w:ascii="Palatino Linotype"/>
          <w:color w:val="231F20"/>
          <w:sz w:val="17"/>
        </w:rPr>
        <w:t>of</w:t>
      </w:r>
      <w:r>
        <w:rPr>
          <w:rFonts w:ascii="Palatino Linotype"/>
          <w:color w:val="231F20"/>
          <w:spacing w:val="-14"/>
          <w:sz w:val="17"/>
        </w:rPr>
        <w:t> </w:t>
      </w:r>
      <w:r>
        <w:rPr>
          <w:rFonts w:ascii="Palatino Linotype"/>
          <w:color w:val="231F20"/>
          <w:sz w:val="17"/>
        </w:rPr>
        <w:t>Georgetown</w:t>
      </w:r>
      <w:r>
        <w:rPr>
          <w:rFonts w:ascii="Palatino Linotype"/>
          <w:color w:val="231F20"/>
          <w:spacing w:val="-13"/>
          <w:sz w:val="17"/>
        </w:rPr>
        <w:t> </w:t>
      </w:r>
      <w:r>
        <w:rPr>
          <w:rFonts w:ascii="Palatino Linotype"/>
          <w:color w:val="231F20"/>
          <w:sz w:val="17"/>
        </w:rPr>
        <w:t>University</w:t>
      </w:r>
      <w:r>
        <w:rPr>
          <w:rFonts w:ascii="Palatino Linotype"/>
          <w:color w:val="231F20"/>
          <w:spacing w:val="-14"/>
          <w:sz w:val="17"/>
        </w:rPr>
        <w:t> </w:t>
      </w:r>
      <w:r>
        <w:rPr>
          <w:rFonts w:ascii="Palatino Linotype"/>
          <w:color w:val="231F20"/>
          <w:sz w:val="17"/>
        </w:rPr>
        <w:t>for</w:t>
      </w:r>
      <w:r>
        <w:rPr>
          <w:rFonts w:ascii="Palatino Linotype"/>
          <w:color w:val="231F20"/>
          <w:spacing w:val="-13"/>
          <w:sz w:val="17"/>
        </w:rPr>
        <w:t> </w:t>
      </w:r>
      <w:r>
        <w:rPr>
          <w:rFonts w:ascii="Palatino Linotype"/>
          <w:color w:val="231F20"/>
          <w:sz w:val="17"/>
        </w:rPr>
        <w:t>her</w:t>
      </w:r>
      <w:r>
        <w:rPr>
          <w:rFonts w:ascii="Palatino Linotype"/>
          <w:color w:val="231F20"/>
          <w:spacing w:val="-13"/>
          <w:sz w:val="17"/>
        </w:rPr>
        <w:t> </w:t>
      </w:r>
      <w:r>
        <w:rPr>
          <w:rFonts w:ascii="Palatino Linotype"/>
          <w:color w:val="231F20"/>
          <w:sz w:val="17"/>
        </w:rPr>
        <w:t>research</w:t>
      </w:r>
      <w:r>
        <w:rPr>
          <w:rFonts w:ascii="Palatino Linotype"/>
          <w:color w:val="231F20"/>
          <w:spacing w:val="-14"/>
          <w:sz w:val="17"/>
        </w:rPr>
        <w:t> </w:t>
      </w:r>
      <w:r>
        <w:rPr>
          <w:rFonts w:ascii="Palatino Linotype"/>
          <w:color w:val="231F20"/>
          <w:sz w:val="17"/>
        </w:rPr>
        <w:t>assist- ance.</w:t>
      </w:r>
    </w:p>
    <w:p>
      <w:pPr>
        <w:spacing w:before="142"/>
        <w:ind w:left="100" w:right="0" w:firstLine="0"/>
        <w:jc w:val="both"/>
        <w:rPr>
          <w:rFonts w:ascii="Palatino Linotype"/>
          <w:i/>
          <w:sz w:val="17"/>
        </w:rPr>
      </w:pPr>
      <w:r>
        <w:rPr>
          <w:rFonts w:ascii="Palatino Linotype"/>
          <w:i/>
          <w:color w:val="231F20"/>
          <w:w w:val="105"/>
          <w:sz w:val="17"/>
        </w:rPr>
        <w:t>SIPRI Yearbook 2009: Armaments, Disarmament and International Security</w:t>
      </w:r>
    </w:p>
    <w:p>
      <w:pPr>
        <w:spacing w:after="0"/>
        <w:jc w:val="both"/>
        <w:rPr>
          <w:rFonts w:ascii="Palatino Linotype"/>
          <w:sz w:val="17"/>
        </w:rPr>
        <w:sectPr>
          <w:type w:val="continuous"/>
          <w:pgSz w:w="8850" w:h="13270"/>
          <w:pgMar w:top="1080" w:bottom="280" w:left="1080" w:right="1060"/>
        </w:sectPr>
      </w:pPr>
    </w:p>
    <w:p>
      <w:pPr>
        <w:pStyle w:val="BodyText"/>
        <w:spacing w:line="278" w:lineRule="auto" w:before="141"/>
        <w:ind w:right="117" w:firstLine="180"/>
      </w:pPr>
      <w:bookmarkStart w:name="II. The scale and nature of mass displac" w:id="3"/>
      <w:bookmarkEnd w:id="3"/>
      <w:r>
        <w:rPr/>
      </w:r>
      <w:bookmarkStart w:name="The dynamics and effects of violence-rel" w:id="4"/>
      <w:bookmarkEnd w:id="4"/>
      <w:r>
        <w:rPr/>
      </w:r>
      <w:r>
        <w:rPr>
          <w:color w:val="231F20"/>
        </w:rPr>
        <w:t>This chapter examines the challenges  posed  by  mass  displacement caused by violence. Section II looks at the scale and nature of displacement, presents examples of states’ failure to protect their citizens and discusses   the consequences of displacement. Section III focuses on the political, legal and operational steps needed to provide greater protection for displaced populations and other civilians caught up in massive violence. Section IV presents conclusions and recommendations for the way</w:t>
      </w:r>
      <w:r>
        <w:rPr>
          <w:color w:val="231F20"/>
          <w:spacing w:val="23"/>
        </w:rPr>
        <w:t> </w:t>
      </w:r>
      <w:r>
        <w:rPr>
          <w:color w:val="231F20"/>
        </w:rPr>
        <w:t>forward.</w:t>
      </w:r>
    </w:p>
    <w:p>
      <w:pPr>
        <w:pStyle w:val="BodyText"/>
        <w:spacing w:before="2"/>
        <w:ind w:left="0"/>
        <w:jc w:val="left"/>
        <w:rPr>
          <w:sz w:val="24"/>
        </w:rPr>
      </w:pPr>
    </w:p>
    <w:p>
      <w:pPr>
        <w:pStyle w:val="Heading1"/>
        <w:numPr>
          <w:ilvl w:val="0"/>
          <w:numId w:val="1"/>
        </w:numPr>
        <w:tabs>
          <w:tab w:pos="418" w:val="left" w:leader="none"/>
        </w:tabs>
        <w:spacing w:line="240" w:lineRule="auto" w:before="0" w:after="0"/>
        <w:ind w:left="417" w:right="0" w:hanging="318"/>
        <w:jc w:val="left"/>
      </w:pPr>
      <w:r>
        <w:rPr>
          <w:color w:val="231F20"/>
        </w:rPr>
        <w:t>The</w:t>
      </w:r>
      <w:r>
        <w:rPr>
          <w:color w:val="231F20"/>
          <w:spacing w:val="-9"/>
        </w:rPr>
        <w:t> </w:t>
      </w:r>
      <w:r>
        <w:rPr>
          <w:color w:val="231F20"/>
        </w:rPr>
        <w:t>scale</w:t>
      </w:r>
      <w:r>
        <w:rPr>
          <w:color w:val="231F20"/>
          <w:spacing w:val="-9"/>
        </w:rPr>
        <w:t> </w:t>
      </w:r>
      <w:r>
        <w:rPr>
          <w:color w:val="231F20"/>
        </w:rPr>
        <w:t>and</w:t>
      </w:r>
      <w:r>
        <w:rPr>
          <w:color w:val="231F20"/>
          <w:spacing w:val="-9"/>
        </w:rPr>
        <w:t> </w:t>
      </w:r>
      <w:r>
        <w:rPr>
          <w:color w:val="231F20"/>
        </w:rPr>
        <w:t>nature</w:t>
      </w:r>
      <w:r>
        <w:rPr>
          <w:color w:val="231F20"/>
          <w:spacing w:val="-8"/>
        </w:rPr>
        <w:t> </w:t>
      </w:r>
      <w:r>
        <w:rPr>
          <w:color w:val="231F20"/>
        </w:rPr>
        <w:t>of</w:t>
      </w:r>
      <w:r>
        <w:rPr>
          <w:color w:val="231F20"/>
          <w:spacing w:val="-9"/>
        </w:rPr>
        <w:t> </w:t>
      </w:r>
      <w:r>
        <w:rPr>
          <w:color w:val="231F20"/>
        </w:rPr>
        <w:t>mass</w:t>
      </w:r>
      <w:r>
        <w:rPr>
          <w:color w:val="231F20"/>
          <w:spacing w:val="-9"/>
        </w:rPr>
        <w:t> </w:t>
      </w:r>
      <w:r>
        <w:rPr>
          <w:color w:val="231F20"/>
        </w:rPr>
        <w:t>displacement</w:t>
      </w:r>
    </w:p>
    <w:p>
      <w:pPr>
        <w:pStyle w:val="BodyText"/>
        <w:spacing w:line="278" w:lineRule="auto" w:before="189"/>
        <w:ind w:right="116"/>
      </w:pPr>
      <w:r>
        <w:rPr>
          <w:color w:val="231F20"/>
        </w:rPr>
        <w:t>According to the Uppsala Conﬂict Data Program (UCDP), the total number  of violent conﬂicts has actually declined since the early 1990s.</w:t>
      </w:r>
      <w:r>
        <w:rPr>
          <w:rFonts w:ascii="Adobe Jenson Pro Lt Capt" w:hAnsi="Adobe Jenson Pro Lt Capt"/>
          <w:b w:val="0"/>
          <w:color w:val="231F20"/>
          <w:position w:val="6"/>
          <w:sz w:val="12"/>
        </w:rPr>
        <w:t>1 </w:t>
      </w:r>
      <w:r>
        <w:rPr>
          <w:color w:val="231F20"/>
        </w:rPr>
        <w:t>There has  also been a decline in the more severe and intense conﬂicts.</w:t>
      </w:r>
      <w:r>
        <w:rPr>
          <w:rFonts w:ascii="Adobe Jenson Pro Lt Capt" w:hAnsi="Adobe Jenson Pro Lt Capt"/>
          <w:b w:val="0"/>
          <w:color w:val="231F20"/>
          <w:position w:val="6"/>
          <w:sz w:val="12"/>
        </w:rPr>
        <w:t>2 </w:t>
      </w:r>
      <w:r>
        <w:rPr>
          <w:color w:val="231F20"/>
        </w:rPr>
        <w:t>Yet ‘few of the root-cause drivers of warfare and deadly assaults against civilians, from poverty to group inequality, have improved and some have worsened’.</w:t>
      </w:r>
      <w:r>
        <w:rPr>
          <w:rFonts w:ascii="Adobe Jenson Pro Lt Capt" w:hAnsi="Adobe Jenson Pro Lt Capt"/>
          <w:b w:val="0"/>
          <w:color w:val="231F20"/>
          <w:position w:val="6"/>
          <w:sz w:val="12"/>
        </w:rPr>
        <w:t>3 </w:t>
      </w:r>
      <w:r>
        <w:rPr>
          <w:color w:val="231F20"/>
        </w:rPr>
        <w:t>Rampant violence continues to afflict many countries and endless columns  of traumatized people ﬂeeing civil wars, communal violence and interstate conﬂicts remain an ongoing feature of the contemporary world. Many countries have gross political and economic inequalities combined with a diversity of ethnic groups that do not feel a part of the nation. The conﬂicts that arise are both manipulated by political leaders and reﬂect genuine  group grievances. How effectively these conﬂicts  are  dealt  with  and whether a framework of democracy and human rights exists can determine the extent to which interrelated crises of national identity and internal dis- placement can be</w:t>
      </w:r>
      <w:r>
        <w:rPr>
          <w:color w:val="231F20"/>
          <w:spacing w:val="-2"/>
        </w:rPr>
        <w:t> </w:t>
      </w:r>
      <w:r>
        <w:rPr>
          <w:color w:val="231F20"/>
        </w:rPr>
        <w:t>addressed.</w:t>
      </w:r>
    </w:p>
    <w:p>
      <w:pPr>
        <w:pStyle w:val="BodyText"/>
        <w:spacing w:line="278" w:lineRule="auto"/>
        <w:ind w:right="117" w:firstLine="180"/>
      </w:pPr>
      <w:r>
        <w:rPr>
          <w:color w:val="231F20"/>
        </w:rPr>
        <w:t>At least 26 million people were estimated to be internally displaced at the end of 2008 by conﬂict and human rights violations, while the total number of refugees who ﬂed across borders from conﬂict and persecution had risen  to 11.4 million by the end of 2007.</w:t>
      </w:r>
      <w:r>
        <w:rPr>
          <w:rFonts w:ascii="Adobe Jenson Pro Lt Capt" w:hAnsi="Adobe Jenson Pro Lt Capt"/>
          <w:b w:val="0"/>
          <w:color w:val="231F20"/>
          <w:position w:val="6"/>
          <w:sz w:val="12"/>
        </w:rPr>
        <w:t>4 </w:t>
      </w:r>
      <w:r>
        <w:rPr>
          <w:color w:val="231F20"/>
        </w:rPr>
        <w:t>Although the actual number of civil con- ﬂicts</w:t>
      </w:r>
      <w:r>
        <w:rPr>
          <w:color w:val="231F20"/>
          <w:spacing w:val="9"/>
        </w:rPr>
        <w:t> </w:t>
      </w:r>
      <w:r>
        <w:rPr>
          <w:color w:val="231F20"/>
        </w:rPr>
        <w:t>may</w:t>
      </w:r>
      <w:r>
        <w:rPr>
          <w:color w:val="231F20"/>
          <w:spacing w:val="9"/>
        </w:rPr>
        <w:t> </w:t>
      </w:r>
      <w:r>
        <w:rPr>
          <w:color w:val="231F20"/>
        </w:rPr>
        <w:t>have</w:t>
      </w:r>
      <w:r>
        <w:rPr>
          <w:color w:val="231F20"/>
          <w:spacing w:val="10"/>
        </w:rPr>
        <w:t> </w:t>
      </w:r>
      <w:r>
        <w:rPr>
          <w:color w:val="231F20"/>
        </w:rPr>
        <w:t>declined,</w:t>
      </w:r>
      <w:r>
        <w:rPr>
          <w:color w:val="231F20"/>
          <w:spacing w:val="9"/>
        </w:rPr>
        <w:t> </w:t>
      </w:r>
      <w:r>
        <w:rPr>
          <w:color w:val="231F20"/>
        </w:rPr>
        <w:t>the</w:t>
      </w:r>
      <w:r>
        <w:rPr>
          <w:color w:val="231F20"/>
          <w:spacing w:val="10"/>
        </w:rPr>
        <w:t> </w:t>
      </w:r>
      <w:r>
        <w:rPr>
          <w:color w:val="231F20"/>
        </w:rPr>
        <w:t>number</w:t>
      </w:r>
      <w:r>
        <w:rPr>
          <w:color w:val="231F20"/>
          <w:spacing w:val="9"/>
        </w:rPr>
        <w:t> </w:t>
      </w:r>
      <w:r>
        <w:rPr>
          <w:color w:val="231F20"/>
        </w:rPr>
        <w:t>of</w:t>
      </w:r>
      <w:r>
        <w:rPr>
          <w:color w:val="231F20"/>
          <w:spacing w:val="10"/>
        </w:rPr>
        <w:t> </w:t>
      </w:r>
      <w:r>
        <w:rPr>
          <w:color w:val="231F20"/>
        </w:rPr>
        <w:t>forcibly</w:t>
      </w:r>
      <w:r>
        <w:rPr>
          <w:color w:val="231F20"/>
          <w:spacing w:val="9"/>
        </w:rPr>
        <w:t> </w:t>
      </w:r>
      <w:r>
        <w:rPr>
          <w:color w:val="231F20"/>
        </w:rPr>
        <w:t>displaced</w:t>
      </w:r>
      <w:r>
        <w:rPr>
          <w:color w:val="231F20"/>
          <w:spacing w:val="9"/>
        </w:rPr>
        <w:t> </w:t>
      </w:r>
      <w:r>
        <w:rPr>
          <w:color w:val="231F20"/>
        </w:rPr>
        <w:t>people</w:t>
      </w:r>
      <w:r>
        <w:rPr>
          <w:color w:val="231F20"/>
          <w:spacing w:val="10"/>
        </w:rPr>
        <w:t> </w:t>
      </w:r>
      <w:r>
        <w:rPr>
          <w:color w:val="231F20"/>
        </w:rPr>
        <w:t>has</w:t>
      </w:r>
      <w:r>
        <w:rPr>
          <w:color w:val="231F20"/>
          <w:spacing w:val="9"/>
        </w:rPr>
        <w:t> </w:t>
      </w:r>
      <w:r>
        <w:rPr>
          <w:color w:val="231F20"/>
        </w:rPr>
        <w:t>risen.</w:t>
      </w:r>
    </w:p>
    <w:p>
      <w:pPr>
        <w:pStyle w:val="BodyText"/>
        <w:spacing w:before="1"/>
        <w:ind w:left="0"/>
        <w:jc w:val="left"/>
        <w:rPr>
          <w:sz w:val="27"/>
        </w:rPr>
      </w:pPr>
    </w:p>
    <w:p>
      <w:pPr>
        <w:pStyle w:val="Heading2"/>
        <w:ind w:left="100"/>
      </w:pPr>
      <w:r>
        <w:rPr>
          <w:color w:val="231F20"/>
          <w:w w:val="105"/>
        </w:rPr>
        <w:t>The dynamics and effects of violence-related mass displacement</w:t>
      </w:r>
    </w:p>
    <w:p>
      <w:pPr>
        <w:pStyle w:val="BodyText"/>
        <w:spacing w:line="278" w:lineRule="auto" w:before="176"/>
        <w:ind w:right="118"/>
      </w:pPr>
      <w:r>
        <w:rPr>
          <w:color w:val="231F20"/>
        </w:rPr>
        <w:t>Walter Kälin, the Representative of the UN Secretary-General on  the  Human Rights of Internally Displaced Persons, has repeatedly</w:t>
      </w:r>
      <w:r>
        <w:rPr>
          <w:color w:val="231F20"/>
          <w:spacing w:val="3"/>
        </w:rPr>
        <w:t> </w:t>
      </w:r>
      <w:r>
        <w:rPr>
          <w:color w:val="231F20"/>
        </w:rPr>
        <w:t>reminded</w:t>
      </w:r>
    </w:p>
    <w:p>
      <w:pPr>
        <w:pStyle w:val="ListParagraph"/>
        <w:numPr>
          <w:ilvl w:val="1"/>
          <w:numId w:val="1"/>
        </w:numPr>
        <w:tabs>
          <w:tab w:pos="378" w:val="left" w:leader="none"/>
        </w:tabs>
        <w:spacing w:line="213" w:lineRule="auto" w:before="172" w:after="0"/>
        <w:ind w:left="100" w:right="121" w:firstLine="182"/>
        <w:jc w:val="both"/>
        <w:rPr>
          <w:sz w:val="15"/>
        </w:rPr>
      </w:pPr>
      <w:r>
        <w:rPr>
          <w:color w:val="231F20"/>
          <w:sz w:val="15"/>
        </w:rPr>
        <w:t>For more detail see Harbom, L. and Wallensteen, P., ‘Armed conﬂict, 1989–2006’, </w:t>
      </w:r>
      <w:r>
        <w:rPr>
          <w:i/>
          <w:color w:val="231F20"/>
          <w:sz w:val="15"/>
        </w:rPr>
        <w:t>Journal of </w:t>
      </w:r>
      <w:r>
        <w:rPr>
          <w:i/>
          <w:color w:val="231F20"/>
          <w:sz w:val="15"/>
        </w:rPr>
        <w:t>Peace Studies</w:t>
      </w:r>
      <w:r>
        <w:rPr>
          <w:color w:val="231F20"/>
          <w:sz w:val="15"/>
        </w:rPr>
        <w:t>, vol. 44, no. 5 (Sep. 2007). The UCDP data on all armed conﬂicts is also available in Human Security Report Project, </w:t>
      </w:r>
      <w:r>
        <w:rPr>
          <w:i/>
          <w:color w:val="231F20"/>
          <w:sz w:val="15"/>
        </w:rPr>
        <w:t>Human Security Brief 2007 </w:t>
      </w:r>
      <w:r>
        <w:rPr>
          <w:color w:val="231F20"/>
          <w:sz w:val="15"/>
        </w:rPr>
        <w:t>(Simon Fraser University, School for International Studies: Vancouver,</w:t>
      </w:r>
      <w:r>
        <w:rPr>
          <w:color w:val="231F20"/>
          <w:spacing w:val="-13"/>
          <w:sz w:val="15"/>
        </w:rPr>
        <w:t> </w:t>
      </w:r>
      <w:r>
        <w:rPr>
          <w:color w:val="231F20"/>
          <w:sz w:val="15"/>
        </w:rPr>
        <w:t>2007).</w:t>
      </w:r>
    </w:p>
    <w:p>
      <w:pPr>
        <w:pStyle w:val="ListParagraph"/>
        <w:numPr>
          <w:ilvl w:val="1"/>
          <w:numId w:val="1"/>
        </w:numPr>
        <w:tabs>
          <w:tab w:pos="378" w:val="left" w:leader="none"/>
        </w:tabs>
        <w:spacing w:line="175" w:lineRule="exact" w:before="0" w:after="0"/>
        <w:ind w:left="377" w:right="0" w:hanging="95"/>
        <w:jc w:val="both"/>
        <w:rPr>
          <w:sz w:val="15"/>
        </w:rPr>
      </w:pPr>
      <w:r>
        <w:rPr>
          <w:color w:val="231F20"/>
          <w:sz w:val="15"/>
        </w:rPr>
        <w:t>On</w:t>
      </w:r>
      <w:r>
        <w:rPr>
          <w:color w:val="231F20"/>
          <w:spacing w:val="-8"/>
          <w:sz w:val="15"/>
        </w:rPr>
        <w:t> </w:t>
      </w:r>
      <w:r>
        <w:rPr>
          <w:color w:val="231F20"/>
          <w:sz w:val="15"/>
        </w:rPr>
        <w:t>the</w:t>
      </w:r>
      <w:r>
        <w:rPr>
          <w:color w:val="231F20"/>
          <w:spacing w:val="-8"/>
          <w:sz w:val="15"/>
        </w:rPr>
        <w:t> </w:t>
      </w:r>
      <w:r>
        <w:rPr>
          <w:color w:val="231F20"/>
          <w:sz w:val="15"/>
        </w:rPr>
        <w:t>number</w:t>
      </w:r>
      <w:r>
        <w:rPr>
          <w:color w:val="231F20"/>
          <w:spacing w:val="-7"/>
          <w:sz w:val="15"/>
        </w:rPr>
        <w:t> </w:t>
      </w:r>
      <w:r>
        <w:rPr>
          <w:color w:val="231F20"/>
          <w:sz w:val="15"/>
        </w:rPr>
        <w:t>of</w:t>
      </w:r>
      <w:r>
        <w:rPr>
          <w:color w:val="231F20"/>
          <w:spacing w:val="-8"/>
          <w:sz w:val="15"/>
        </w:rPr>
        <w:t> </w:t>
      </w:r>
      <w:r>
        <w:rPr>
          <w:color w:val="231F20"/>
          <w:sz w:val="15"/>
        </w:rPr>
        <w:t>major</w:t>
      </w:r>
      <w:r>
        <w:rPr>
          <w:color w:val="231F20"/>
          <w:spacing w:val="-8"/>
          <w:sz w:val="15"/>
        </w:rPr>
        <w:t> </w:t>
      </w:r>
      <w:r>
        <w:rPr>
          <w:color w:val="231F20"/>
          <w:sz w:val="15"/>
        </w:rPr>
        <w:t>armed</w:t>
      </w:r>
      <w:r>
        <w:rPr>
          <w:color w:val="231F20"/>
          <w:spacing w:val="-7"/>
          <w:sz w:val="15"/>
        </w:rPr>
        <w:t> </w:t>
      </w:r>
      <w:r>
        <w:rPr>
          <w:color w:val="231F20"/>
          <w:sz w:val="15"/>
        </w:rPr>
        <w:t>conﬂicts</w:t>
      </w:r>
      <w:r>
        <w:rPr>
          <w:color w:val="231F20"/>
          <w:spacing w:val="-8"/>
          <w:sz w:val="15"/>
        </w:rPr>
        <w:t> </w:t>
      </w:r>
      <w:r>
        <w:rPr>
          <w:color w:val="231F20"/>
          <w:sz w:val="15"/>
        </w:rPr>
        <w:t>active</w:t>
      </w:r>
      <w:r>
        <w:rPr>
          <w:color w:val="231F20"/>
          <w:spacing w:val="-7"/>
          <w:sz w:val="15"/>
        </w:rPr>
        <w:t> </w:t>
      </w:r>
      <w:r>
        <w:rPr>
          <w:color w:val="231F20"/>
          <w:sz w:val="15"/>
        </w:rPr>
        <w:t>in</w:t>
      </w:r>
      <w:r>
        <w:rPr>
          <w:color w:val="231F20"/>
          <w:spacing w:val="-8"/>
          <w:sz w:val="15"/>
        </w:rPr>
        <w:t> </w:t>
      </w:r>
      <w:r>
        <w:rPr>
          <w:color w:val="231F20"/>
          <w:sz w:val="15"/>
        </w:rPr>
        <w:t>2008</w:t>
      </w:r>
      <w:r>
        <w:rPr>
          <w:color w:val="231F20"/>
          <w:spacing w:val="-8"/>
          <w:sz w:val="15"/>
        </w:rPr>
        <w:t> </w:t>
      </w:r>
      <w:r>
        <w:rPr>
          <w:color w:val="231F20"/>
          <w:sz w:val="15"/>
        </w:rPr>
        <w:t>see</w:t>
      </w:r>
      <w:r>
        <w:rPr>
          <w:color w:val="231F20"/>
          <w:spacing w:val="-7"/>
          <w:sz w:val="15"/>
        </w:rPr>
        <w:t> </w:t>
      </w:r>
      <w:r>
        <w:rPr>
          <w:color w:val="231F20"/>
          <w:sz w:val="15"/>
        </w:rPr>
        <w:t>appendix</w:t>
      </w:r>
      <w:r>
        <w:rPr>
          <w:color w:val="231F20"/>
          <w:spacing w:val="-8"/>
          <w:sz w:val="15"/>
        </w:rPr>
        <w:t> </w:t>
      </w:r>
      <w:r>
        <w:rPr>
          <w:color w:val="231F20"/>
          <w:sz w:val="15"/>
        </w:rPr>
        <w:t>2A</w:t>
      </w:r>
      <w:r>
        <w:rPr>
          <w:color w:val="231F20"/>
          <w:spacing w:val="-8"/>
          <w:sz w:val="15"/>
        </w:rPr>
        <w:t> </w:t>
      </w:r>
      <w:r>
        <w:rPr>
          <w:color w:val="231F20"/>
          <w:sz w:val="15"/>
        </w:rPr>
        <w:t>in</w:t>
      </w:r>
      <w:r>
        <w:rPr>
          <w:color w:val="231F20"/>
          <w:spacing w:val="-7"/>
          <w:sz w:val="15"/>
        </w:rPr>
        <w:t> </w:t>
      </w:r>
      <w:r>
        <w:rPr>
          <w:color w:val="231F20"/>
          <w:sz w:val="15"/>
        </w:rPr>
        <w:t>this</w:t>
      </w:r>
      <w:r>
        <w:rPr>
          <w:color w:val="231F20"/>
          <w:spacing w:val="-8"/>
          <w:sz w:val="15"/>
        </w:rPr>
        <w:t> </w:t>
      </w:r>
      <w:r>
        <w:rPr>
          <w:color w:val="231F20"/>
          <w:sz w:val="15"/>
        </w:rPr>
        <w:t>volume.</w:t>
      </w:r>
    </w:p>
    <w:p>
      <w:pPr>
        <w:pStyle w:val="ListParagraph"/>
        <w:numPr>
          <w:ilvl w:val="1"/>
          <w:numId w:val="1"/>
        </w:numPr>
        <w:tabs>
          <w:tab w:pos="378" w:val="left" w:leader="none"/>
        </w:tabs>
        <w:spacing w:line="180" w:lineRule="exact" w:before="0" w:after="0"/>
        <w:ind w:left="377" w:right="0" w:hanging="95"/>
        <w:jc w:val="both"/>
        <w:rPr>
          <w:sz w:val="15"/>
        </w:rPr>
      </w:pPr>
      <w:r>
        <w:rPr>
          <w:color w:val="231F20"/>
          <w:sz w:val="15"/>
        </w:rPr>
        <w:t>Human</w:t>
      </w:r>
      <w:r>
        <w:rPr>
          <w:color w:val="231F20"/>
          <w:spacing w:val="-5"/>
          <w:sz w:val="15"/>
        </w:rPr>
        <w:t> </w:t>
      </w:r>
      <w:r>
        <w:rPr>
          <w:color w:val="231F20"/>
          <w:sz w:val="15"/>
        </w:rPr>
        <w:t>Security</w:t>
      </w:r>
      <w:r>
        <w:rPr>
          <w:color w:val="231F20"/>
          <w:spacing w:val="-5"/>
          <w:sz w:val="15"/>
        </w:rPr>
        <w:t> </w:t>
      </w:r>
      <w:r>
        <w:rPr>
          <w:color w:val="231F20"/>
          <w:sz w:val="15"/>
        </w:rPr>
        <w:t>Report</w:t>
      </w:r>
      <w:r>
        <w:rPr>
          <w:color w:val="231F20"/>
          <w:spacing w:val="-4"/>
          <w:sz w:val="15"/>
        </w:rPr>
        <w:t> </w:t>
      </w:r>
      <w:r>
        <w:rPr>
          <w:color w:val="231F20"/>
          <w:sz w:val="15"/>
        </w:rPr>
        <w:t>Project</w:t>
      </w:r>
      <w:r>
        <w:rPr>
          <w:color w:val="231F20"/>
          <w:spacing w:val="-5"/>
          <w:sz w:val="15"/>
        </w:rPr>
        <w:t> </w:t>
      </w:r>
      <w:r>
        <w:rPr>
          <w:color w:val="231F20"/>
          <w:sz w:val="15"/>
        </w:rPr>
        <w:t>(note</w:t>
      </w:r>
      <w:r>
        <w:rPr>
          <w:color w:val="231F20"/>
          <w:spacing w:val="-5"/>
          <w:sz w:val="15"/>
        </w:rPr>
        <w:t> </w:t>
      </w:r>
      <w:r>
        <w:rPr>
          <w:color w:val="231F20"/>
          <w:sz w:val="15"/>
        </w:rPr>
        <w:t>1),</w:t>
      </w:r>
      <w:r>
        <w:rPr>
          <w:color w:val="231F20"/>
          <w:spacing w:val="-4"/>
          <w:sz w:val="15"/>
        </w:rPr>
        <w:t> </w:t>
      </w:r>
      <w:r>
        <w:rPr>
          <w:color w:val="231F20"/>
          <w:sz w:val="15"/>
        </w:rPr>
        <w:t>p.</w:t>
      </w:r>
      <w:r>
        <w:rPr>
          <w:color w:val="231F20"/>
          <w:spacing w:val="-5"/>
          <w:sz w:val="15"/>
        </w:rPr>
        <w:t> </w:t>
      </w:r>
      <w:r>
        <w:rPr>
          <w:color w:val="231F20"/>
          <w:sz w:val="15"/>
        </w:rPr>
        <w:t>7.</w:t>
      </w:r>
    </w:p>
    <w:p>
      <w:pPr>
        <w:pStyle w:val="ListParagraph"/>
        <w:numPr>
          <w:ilvl w:val="1"/>
          <w:numId w:val="1"/>
        </w:numPr>
        <w:tabs>
          <w:tab w:pos="378" w:val="left" w:leader="none"/>
        </w:tabs>
        <w:spacing w:line="213" w:lineRule="auto" w:before="5" w:after="0"/>
        <w:ind w:left="101" w:right="121" w:firstLine="182"/>
        <w:jc w:val="both"/>
        <w:rPr>
          <w:sz w:val="15"/>
        </w:rPr>
      </w:pPr>
      <w:r>
        <w:rPr>
          <w:color w:val="231F20"/>
          <w:sz w:val="15"/>
        </w:rPr>
        <w:t>For IDP statistics see Internal Displacement Monitoring Centre (IDMC), </w:t>
      </w:r>
      <w:r>
        <w:rPr>
          <w:i/>
          <w:color w:val="231F20"/>
          <w:sz w:val="15"/>
        </w:rPr>
        <w:t>Internal Displacement: </w:t>
      </w:r>
      <w:r>
        <w:rPr>
          <w:i/>
          <w:color w:val="231F20"/>
          <w:sz w:val="15"/>
        </w:rPr>
        <w:t>Global Overview of Trends and Developments in 2008 </w:t>
      </w:r>
      <w:r>
        <w:rPr>
          <w:color w:val="231F20"/>
          <w:sz w:val="15"/>
        </w:rPr>
        <w:t>(IDMC: Geneva, Apr. 2009), p. 13; for refugee statistics</w:t>
      </w:r>
      <w:r>
        <w:rPr>
          <w:color w:val="231F20"/>
          <w:spacing w:val="-9"/>
          <w:sz w:val="15"/>
        </w:rPr>
        <w:t> </w:t>
      </w:r>
      <w:r>
        <w:rPr>
          <w:color w:val="231F20"/>
          <w:sz w:val="15"/>
        </w:rPr>
        <w:t>see</w:t>
      </w:r>
      <w:r>
        <w:rPr>
          <w:color w:val="231F20"/>
          <w:spacing w:val="-8"/>
          <w:sz w:val="15"/>
        </w:rPr>
        <w:t> </w:t>
      </w:r>
      <w:r>
        <w:rPr>
          <w:color w:val="231F20"/>
          <w:sz w:val="15"/>
        </w:rPr>
        <w:t>UN</w:t>
      </w:r>
      <w:r>
        <w:rPr>
          <w:color w:val="231F20"/>
          <w:spacing w:val="-9"/>
          <w:sz w:val="15"/>
        </w:rPr>
        <w:t> </w:t>
      </w:r>
      <w:r>
        <w:rPr>
          <w:color w:val="231F20"/>
          <w:sz w:val="15"/>
        </w:rPr>
        <w:t>High</w:t>
      </w:r>
      <w:r>
        <w:rPr>
          <w:color w:val="231F20"/>
          <w:spacing w:val="-8"/>
          <w:sz w:val="15"/>
        </w:rPr>
        <w:t> </w:t>
      </w:r>
      <w:r>
        <w:rPr>
          <w:color w:val="231F20"/>
          <w:sz w:val="15"/>
        </w:rPr>
        <w:t>Commissioner</w:t>
      </w:r>
      <w:r>
        <w:rPr>
          <w:color w:val="231F20"/>
          <w:spacing w:val="-8"/>
          <w:sz w:val="15"/>
        </w:rPr>
        <w:t> </w:t>
      </w:r>
      <w:r>
        <w:rPr>
          <w:color w:val="231F20"/>
          <w:sz w:val="15"/>
        </w:rPr>
        <w:t>for</w:t>
      </w:r>
      <w:r>
        <w:rPr>
          <w:color w:val="231F20"/>
          <w:spacing w:val="-9"/>
          <w:sz w:val="15"/>
        </w:rPr>
        <w:t> </w:t>
      </w:r>
      <w:r>
        <w:rPr>
          <w:color w:val="231F20"/>
          <w:sz w:val="15"/>
        </w:rPr>
        <w:t>Refugees</w:t>
      </w:r>
      <w:r>
        <w:rPr>
          <w:color w:val="231F20"/>
          <w:spacing w:val="-8"/>
          <w:sz w:val="15"/>
        </w:rPr>
        <w:t> </w:t>
      </w:r>
      <w:r>
        <w:rPr>
          <w:color w:val="231F20"/>
          <w:sz w:val="15"/>
        </w:rPr>
        <w:t>(UNHCR),</w:t>
      </w:r>
      <w:r>
        <w:rPr>
          <w:color w:val="231F20"/>
          <w:spacing w:val="-8"/>
          <w:sz w:val="15"/>
        </w:rPr>
        <w:t> </w:t>
      </w:r>
      <w:r>
        <w:rPr>
          <w:i/>
          <w:color w:val="231F20"/>
          <w:sz w:val="15"/>
        </w:rPr>
        <w:t>2007</w:t>
      </w:r>
      <w:r>
        <w:rPr>
          <w:i/>
          <w:color w:val="231F20"/>
          <w:spacing w:val="-8"/>
          <w:sz w:val="15"/>
        </w:rPr>
        <w:t> </w:t>
      </w:r>
      <w:r>
        <w:rPr>
          <w:i/>
          <w:color w:val="231F20"/>
          <w:sz w:val="15"/>
        </w:rPr>
        <w:t>Global</w:t>
      </w:r>
      <w:r>
        <w:rPr>
          <w:i/>
          <w:color w:val="231F20"/>
          <w:spacing w:val="-9"/>
          <w:sz w:val="15"/>
        </w:rPr>
        <w:t> </w:t>
      </w:r>
      <w:r>
        <w:rPr>
          <w:i/>
          <w:color w:val="231F20"/>
          <w:sz w:val="15"/>
        </w:rPr>
        <w:t>Trends:</w:t>
      </w:r>
      <w:r>
        <w:rPr>
          <w:i/>
          <w:color w:val="231F20"/>
          <w:spacing w:val="-8"/>
          <w:sz w:val="15"/>
        </w:rPr>
        <w:t> </w:t>
      </w:r>
      <w:r>
        <w:rPr>
          <w:i/>
          <w:color w:val="231F20"/>
          <w:sz w:val="15"/>
        </w:rPr>
        <w:t>Refugees,</w:t>
      </w:r>
      <w:r>
        <w:rPr>
          <w:i/>
          <w:color w:val="231F20"/>
          <w:spacing w:val="-8"/>
          <w:sz w:val="15"/>
        </w:rPr>
        <w:t> </w:t>
      </w:r>
      <w:r>
        <w:rPr>
          <w:i/>
          <w:color w:val="231F20"/>
          <w:sz w:val="15"/>
        </w:rPr>
        <w:t>Asylum- </w:t>
      </w:r>
      <w:r>
        <w:rPr>
          <w:i/>
          <w:color w:val="231F20"/>
          <w:sz w:val="15"/>
        </w:rPr>
        <w:t>Seekers, Returnees, Internally Displaced and Stateless Persons </w:t>
      </w:r>
      <w:r>
        <w:rPr>
          <w:color w:val="231F20"/>
          <w:sz w:val="15"/>
        </w:rPr>
        <w:t>(UNHCR: Geneva, June 2008), p.</w:t>
      </w:r>
      <w:r>
        <w:rPr>
          <w:color w:val="231F20"/>
          <w:spacing w:val="4"/>
          <w:sz w:val="15"/>
        </w:rPr>
        <w:t> </w:t>
      </w:r>
      <w:r>
        <w:rPr>
          <w:color w:val="231F20"/>
          <w:sz w:val="15"/>
        </w:rPr>
        <w:t>2.</w:t>
      </w:r>
    </w:p>
    <w:p>
      <w:pPr>
        <w:spacing w:after="0" w:line="213" w:lineRule="auto"/>
        <w:jc w:val="both"/>
        <w:rPr>
          <w:sz w:val="15"/>
        </w:rPr>
        <w:sectPr>
          <w:headerReference w:type="even" r:id="rId5"/>
          <w:headerReference w:type="default" r:id="rId6"/>
          <w:pgSz w:w="8850" w:h="13270"/>
          <w:pgMar w:header="752" w:footer="0" w:top="1080" w:bottom="280" w:left="1080" w:right="1060"/>
          <w:pgNumType w:start="16"/>
        </w:sectPr>
      </w:pPr>
    </w:p>
    <w:p>
      <w:pPr>
        <w:pStyle w:val="BodyText"/>
        <w:spacing w:line="278" w:lineRule="auto" w:before="141"/>
        <w:ind w:right="117"/>
      </w:pPr>
      <w:r>
        <w:rPr>
          <w:color w:val="231F20"/>
        </w:rPr>
        <w:t>the international community that ‘Forced displacement is not a passing  event in people’s lives. It is a  devastating  transformation.’</w:t>
      </w:r>
      <w:r>
        <w:rPr>
          <w:rFonts w:ascii="Adobe Jenson Pro Lt Capt" w:hAnsi="Adobe Jenson Pro Lt Capt"/>
          <w:b w:val="0"/>
          <w:color w:val="231F20"/>
          <w:position w:val="6"/>
          <w:sz w:val="12"/>
        </w:rPr>
        <w:t>5  </w:t>
      </w:r>
      <w:r>
        <w:rPr>
          <w:color w:val="231F20"/>
        </w:rPr>
        <w:t>Families deprived of life’s essentials—in particular shelter, food, medicine, edu- cation, community and livelihood—face marginalization within their coun- tries, discrimination by other ethnic and religious groups, and abject poverty.</w:t>
      </w:r>
      <w:r>
        <w:rPr>
          <w:rFonts w:ascii="Adobe Jenson Pro Lt Capt" w:hAnsi="Adobe Jenson Pro Lt Capt"/>
          <w:b w:val="0"/>
          <w:color w:val="231F20"/>
          <w:position w:val="6"/>
          <w:sz w:val="12"/>
        </w:rPr>
        <w:t>6 </w:t>
      </w:r>
      <w:r>
        <w:rPr>
          <w:color w:val="231F20"/>
        </w:rPr>
        <w:t>Entire communities, even entire regions of a country may be depopulated, resulting in damage to farmland, cultivation patterns, basic infrastructure, and community traditions and organization.</w:t>
      </w:r>
      <w:r>
        <w:rPr>
          <w:rFonts w:ascii="Adobe Jenson Pro Lt Capt" w:hAnsi="Adobe Jenson Pro Lt Capt"/>
          <w:b w:val="0"/>
          <w:color w:val="231F20"/>
          <w:position w:val="6"/>
          <w:sz w:val="12"/>
        </w:rPr>
        <w:t>7 </w:t>
      </w:r>
      <w:r>
        <w:rPr>
          <w:color w:val="231F20"/>
        </w:rPr>
        <w:t>In areas to which the displaced ﬂee, damage to the environment  can  be  extensive  when forests and grasslands are stripped to satisfy needs for housing and fuel. In urban centres, incoming populations place severe strains on infra- structure and services, while displaced children often have little  or  no  access to education.</w:t>
      </w:r>
      <w:r>
        <w:rPr>
          <w:rFonts w:ascii="Adobe Jenson Pro Lt Capt" w:hAnsi="Adobe Jenson Pro Lt Capt"/>
          <w:b w:val="0"/>
          <w:color w:val="231F20"/>
          <w:position w:val="6"/>
          <w:sz w:val="12"/>
        </w:rPr>
        <w:t>8 </w:t>
      </w:r>
      <w:r>
        <w:rPr>
          <w:color w:val="231F20"/>
        </w:rPr>
        <w:t>Economic development programmes, oil exploration and the exploitation of minerals are often set back because of conﬂict and displacement. Although displacement is often thought of as a phenomenon affecting only those forced to ﬂee, the impact can undermine the political, economic and social foundations of societies.</w:t>
      </w:r>
    </w:p>
    <w:p>
      <w:pPr>
        <w:pStyle w:val="BodyText"/>
        <w:spacing w:line="278" w:lineRule="auto"/>
        <w:ind w:right="116" w:firstLine="180"/>
        <w:rPr>
          <w:rFonts w:ascii="Adobe Jenson Pro Lt Capt" w:hAnsi="Adobe Jenson Pro Lt Capt"/>
          <w:b w:val="0"/>
          <w:sz w:val="12"/>
        </w:rPr>
      </w:pPr>
      <w:r>
        <w:rPr>
          <w:color w:val="231F20"/>
        </w:rPr>
        <w:t>Persons uprooted from their homes often suffer higher rates of mortality than the general population, sometimes as much as 50 times greater, and   are more vulnerable to physical attack, sexual assault, abduction and disease.</w:t>
      </w:r>
      <w:r>
        <w:rPr>
          <w:rFonts w:ascii="Adobe Jenson Pro Lt Capt" w:hAnsi="Adobe Jenson Pro Lt Capt"/>
          <w:b w:val="0"/>
          <w:color w:val="231F20"/>
          <w:position w:val="6"/>
          <w:sz w:val="12"/>
        </w:rPr>
        <w:t>9 </w:t>
      </w:r>
      <w:r>
        <w:rPr>
          <w:color w:val="231F20"/>
        </w:rPr>
        <w:t>The International Committee of the Red Cross (ICRC) has identi- ﬁed four important protection issues IDPs face that increase their vulner- ability: ‘risk of tension between host communities and displaced persons; increased risk of sexual violence; increased risk that families will be split apart and that children, in particular, will be separated from  their parents   or other relatives; and use of displacement as a tool or even a method of warfare by parties to a</w:t>
      </w:r>
      <w:r>
        <w:rPr>
          <w:color w:val="231F20"/>
          <w:spacing w:val="-2"/>
        </w:rPr>
        <w:t> </w:t>
      </w:r>
      <w:r>
        <w:rPr>
          <w:color w:val="231F20"/>
        </w:rPr>
        <w:t>conﬂict’.</w:t>
      </w:r>
      <w:r>
        <w:rPr>
          <w:rFonts w:ascii="Adobe Jenson Pro Lt Capt" w:hAnsi="Adobe Jenson Pro Lt Capt"/>
          <w:b w:val="0"/>
          <w:color w:val="231F20"/>
          <w:position w:val="6"/>
          <w:sz w:val="12"/>
        </w:rPr>
        <w:t>10</w:t>
      </w:r>
    </w:p>
    <w:p>
      <w:pPr>
        <w:pStyle w:val="BodyText"/>
        <w:ind w:left="0"/>
        <w:jc w:val="left"/>
        <w:rPr>
          <w:rFonts w:ascii="Adobe Jenson Pro Lt Capt"/>
          <w:b w:val="0"/>
          <w:sz w:val="26"/>
        </w:rPr>
      </w:pPr>
    </w:p>
    <w:p>
      <w:pPr>
        <w:pStyle w:val="ListParagraph"/>
        <w:numPr>
          <w:ilvl w:val="1"/>
          <w:numId w:val="1"/>
        </w:numPr>
        <w:tabs>
          <w:tab w:pos="378" w:val="left" w:leader="none"/>
        </w:tabs>
        <w:spacing w:line="213" w:lineRule="auto" w:before="218" w:after="0"/>
        <w:ind w:left="100" w:right="120" w:firstLine="182"/>
        <w:jc w:val="both"/>
        <w:rPr>
          <w:sz w:val="15"/>
        </w:rPr>
      </w:pPr>
      <w:r>
        <w:rPr>
          <w:color w:val="231F20"/>
          <w:sz w:val="15"/>
        </w:rPr>
        <w:t>Kälin,</w:t>
      </w:r>
      <w:r>
        <w:rPr>
          <w:color w:val="231F20"/>
          <w:spacing w:val="-17"/>
          <w:sz w:val="15"/>
        </w:rPr>
        <w:t> </w:t>
      </w:r>
      <w:r>
        <w:rPr>
          <w:color w:val="231F20"/>
          <w:sz w:val="15"/>
        </w:rPr>
        <w:t>W.,</w:t>
      </w:r>
      <w:r>
        <w:rPr>
          <w:color w:val="231F20"/>
          <w:spacing w:val="-17"/>
          <w:sz w:val="15"/>
        </w:rPr>
        <w:t> </w:t>
      </w:r>
      <w:r>
        <w:rPr>
          <w:color w:val="231F20"/>
          <w:sz w:val="15"/>
        </w:rPr>
        <w:t>‘Strengthening</w:t>
      </w:r>
      <w:r>
        <w:rPr>
          <w:color w:val="231F20"/>
          <w:spacing w:val="-16"/>
          <w:sz w:val="15"/>
        </w:rPr>
        <w:t> </w:t>
      </w:r>
      <w:r>
        <w:rPr>
          <w:color w:val="231F20"/>
          <w:sz w:val="15"/>
        </w:rPr>
        <w:t>the</w:t>
      </w:r>
      <w:r>
        <w:rPr>
          <w:color w:val="231F20"/>
          <w:spacing w:val="-17"/>
          <w:sz w:val="15"/>
        </w:rPr>
        <w:t> </w:t>
      </w:r>
      <w:r>
        <w:rPr>
          <w:color w:val="231F20"/>
          <w:sz w:val="15"/>
        </w:rPr>
        <w:t>rights</w:t>
      </w:r>
      <w:r>
        <w:rPr>
          <w:color w:val="231F20"/>
          <w:spacing w:val="-17"/>
          <w:sz w:val="15"/>
        </w:rPr>
        <w:t> </w:t>
      </w:r>
      <w:r>
        <w:rPr>
          <w:color w:val="231F20"/>
          <w:sz w:val="15"/>
        </w:rPr>
        <w:t>of</w:t>
      </w:r>
      <w:r>
        <w:rPr>
          <w:color w:val="231F20"/>
          <w:spacing w:val="-16"/>
          <w:sz w:val="15"/>
        </w:rPr>
        <w:t> </w:t>
      </w:r>
      <w:r>
        <w:rPr>
          <w:color w:val="231F20"/>
          <w:sz w:val="15"/>
        </w:rPr>
        <w:t>internally</w:t>
      </w:r>
      <w:r>
        <w:rPr>
          <w:color w:val="231F20"/>
          <w:spacing w:val="-17"/>
          <w:sz w:val="15"/>
        </w:rPr>
        <w:t> </w:t>
      </w:r>
      <w:r>
        <w:rPr>
          <w:color w:val="231F20"/>
          <w:sz w:val="15"/>
        </w:rPr>
        <w:t>displaced</w:t>
      </w:r>
      <w:r>
        <w:rPr>
          <w:color w:val="231F20"/>
          <w:spacing w:val="-17"/>
          <w:sz w:val="15"/>
        </w:rPr>
        <w:t> </w:t>
      </w:r>
      <w:r>
        <w:rPr>
          <w:color w:val="231F20"/>
          <w:sz w:val="15"/>
        </w:rPr>
        <w:t>persons’,</w:t>
      </w:r>
      <w:r>
        <w:rPr>
          <w:color w:val="231F20"/>
          <w:spacing w:val="-16"/>
          <w:sz w:val="15"/>
        </w:rPr>
        <w:t> </w:t>
      </w:r>
      <w:r>
        <w:rPr>
          <w:color w:val="231F20"/>
          <w:sz w:val="15"/>
        </w:rPr>
        <w:t>Statement</w:t>
      </w:r>
      <w:r>
        <w:rPr>
          <w:color w:val="231F20"/>
          <w:spacing w:val="-17"/>
          <w:sz w:val="15"/>
        </w:rPr>
        <w:t> </w:t>
      </w:r>
      <w:r>
        <w:rPr>
          <w:color w:val="231F20"/>
          <w:sz w:val="15"/>
        </w:rPr>
        <w:t>to</w:t>
      </w:r>
      <w:r>
        <w:rPr>
          <w:color w:val="231F20"/>
          <w:spacing w:val="-17"/>
          <w:sz w:val="15"/>
        </w:rPr>
        <w:t> </w:t>
      </w:r>
      <w:r>
        <w:rPr>
          <w:color w:val="231F20"/>
          <w:sz w:val="15"/>
        </w:rPr>
        <w:t>Conference</w:t>
      </w:r>
      <w:r>
        <w:rPr>
          <w:color w:val="231F20"/>
          <w:spacing w:val="-16"/>
          <w:sz w:val="15"/>
        </w:rPr>
        <w:t> </w:t>
      </w:r>
      <w:r>
        <w:rPr>
          <w:color w:val="231F20"/>
          <w:sz w:val="15"/>
        </w:rPr>
        <w:t>on Ten Years of Guiding Principles on Internal Displacement, Achievements and Future Challenges’, Oslo,</w:t>
      </w:r>
      <w:r>
        <w:rPr>
          <w:color w:val="231F20"/>
          <w:spacing w:val="-6"/>
          <w:sz w:val="15"/>
        </w:rPr>
        <w:t> </w:t>
      </w:r>
      <w:r>
        <w:rPr>
          <w:color w:val="231F20"/>
          <w:sz w:val="15"/>
        </w:rPr>
        <w:t>16</w:t>
      </w:r>
      <w:r>
        <w:rPr>
          <w:color w:val="231F20"/>
          <w:spacing w:val="-5"/>
          <w:sz w:val="15"/>
        </w:rPr>
        <w:t> </w:t>
      </w:r>
      <w:r>
        <w:rPr>
          <w:color w:val="231F20"/>
          <w:sz w:val="15"/>
        </w:rPr>
        <w:t>Oct.</w:t>
      </w:r>
      <w:r>
        <w:rPr>
          <w:color w:val="231F20"/>
          <w:spacing w:val="-6"/>
          <w:sz w:val="15"/>
        </w:rPr>
        <w:t> </w:t>
      </w:r>
      <w:r>
        <w:rPr>
          <w:color w:val="231F20"/>
          <w:sz w:val="15"/>
        </w:rPr>
        <w:t>2008,</w:t>
      </w:r>
      <w:r>
        <w:rPr>
          <w:color w:val="231F20"/>
          <w:spacing w:val="-5"/>
          <w:sz w:val="15"/>
        </w:rPr>
        <w:t> </w:t>
      </w:r>
      <w:r>
        <w:rPr>
          <w:color w:val="231F20"/>
          <w:sz w:val="15"/>
        </w:rPr>
        <w:t>available</w:t>
      </w:r>
      <w:r>
        <w:rPr>
          <w:color w:val="231F20"/>
          <w:spacing w:val="-5"/>
          <w:sz w:val="15"/>
        </w:rPr>
        <w:t> </w:t>
      </w:r>
      <w:r>
        <w:rPr>
          <w:color w:val="231F20"/>
          <w:sz w:val="15"/>
        </w:rPr>
        <w:t>at</w:t>
      </w:r>
      <w:r>
        <w:rPr>
          <w:color w:val="231F20"/>
          <w:spacing w:val="-6"/>
          <w:sz w:val="15"/>
        </w:rPr>
        <w:t> </w:t>
      </w:r>
      <w:hyperlink r:id="rId7">
        <w:r>
          <w:rPr>
            <w:color w:val="231F20"/>
            <w:sz w:val="15"/>
          </w:rPr>
          <w:t>&lt;http://www.brookings.edu/idp&gt;.</w:t>
        </w:r>
      </w:hyperlink>
    </w:p>
    <w:p>
      <w:pPr>
        <w:pStyle w:val="ListParagraph"/>
        <w:numPr>
          <w:ilvl w:val="1"/>
          <w:numId w:val="1"/>
        </w:numPr>
        <w:tabs>
          <w:tab w:pos="378" w:val="left" w:leader="none"/>
        </w:tabs>
        <w:spacing w:line="213" w:lineRule="auto" w:before="0" w:after="0"/>
        <w:ind w:left="100" w:right="120" w:firstLine="182"/>
        <w:jc w:val="both"/>
        <w:rPr>
          <w:sz w:val="15"/>
        </w:rPr>
      </w:pPr>
      <w:r>
        <w:rPr>
          <w:color w:val="231F20"/>
          <w:sz w:val="15"/>
        </w:rPr>
        <w:t>A</w:t>
      </w:r>
      <w:r>
        <w:rPr>
          <w:color w:val="231F20"/>
          <w:spacing w:val="-7"/>
          <w:sz w:val="15"/>
        </w:rPr>
        <w:t> </w:t>
      </w:r>
      <w:r>
        <w:rPr>
          <w:color w:val="231F20"/>
          <w:sz w:val="15"/>
        </w:rPr>
        <w:t>study</w:t>
      </w:r>
      <w:r>
        <w:rPr>
          <w:color w:val="231F20"/>
          <w:spacing w:val="-6"/>
          <w:sz w:val="15"/>
        </w:rPr>
        <w:t> </w:t>
      </w:r>
      <w:r>
        <w:rPr>
          <w:color w:val="231F20"/>
          <w:sz w:val="15"/>
        </w:rPr>
        <w:t>of</w:t>
      </w:r>
      <w:r>
        <w:rPr>
          <w:color w:val="231F20"/>
          <w:spacing w:val="-7"/>
          <w:sz w:val="15"/>
        </w:rPr>
        <w:t> </w:t>
      </w:r>
      <w:r>
        <w:rPr>
          <w:color w:val="231F20"/>
          <w:sz w:val="15"/>
        </w:rPr>
        <w:t>conﬂict-induced</w:t>
      </w:r>
      <w:r>
        <w:rPr>
          <w:color w:val="231F20"/>
          <w:spacing w:val="-6"/>
          <w:sz w:val="15"/>
        </w:rPr>
        <w:t> </w:t>
      </w:r>
      <w:r>
        <w:rPr>
          <w:color w:val="231F20"/>
          <w:sz w:val="15"/>
        </w:rPr>
        <w:t>displacement</w:t>
      </w:r>
      <w:r>
        <w:rPr>
          <w:color w:val="231F20"/>
          <w:spacing w:val="-7"/>
          <w:sz w:val="15"/>
        </w:rPr>
        <w:t> </w:t>
      </w:r>
      <w:r>
        <w:rPr>
          <w:color w:val="231F20"/>
          <w:sz w:val="15"/>
        </w:rPr>
        <w:t>in</w:t>
      </w:r>
      <w:r>
        <w:rPr>
          <w:color w:val="231F20"/>
          <w:spacing w:val="-6"/>
          <w:sz w:val="15"/>
        </w:rPr>
        <w:t> </w:t>
      </w:r>
      <w:r>
        <w:rPr>
          <w:color w:val="231F20"/>
          <w:sz w:val="15"/>
        </w:rPr>
        <w:t>Europe</w:t>
      </w:r>
      <w:r>
        <w:rPr>
          <w:color w:val="231F20"/>
          <w:spacing w:val="-7"/>
          <w:sz w:val="15"/>
        </w:rPr>
        <w:t> </w:t>
      </w:r>
      <w:r>
        <w:rPr>
          <w:color w:val="231F20"/>
          <w:sz w:val="15"/>
        </w:rPr>
        <w:t>and</w:t>
      </w:r>
      <w:r>
        <w:rPr>
          <w:color w:val="231F20"/>
          <w:spacing w:val="-6"/>
          <w:sz w:val="15"/>
        </w:rPr>
        <w:t> </w:t>
      </w:r>
      <w:r>
        <w:rPr>
          <w:color w:val="231F20"/>
          <w:sz w:val="15"/>
        </w:rPr>
        <w:t>Central</w:t>
      </w:r>
      <w:r>
        <w:rPr>
          <w:color w:val="231F20"/>
          <w:spacing w:val="-7"/>
          <w:sz w:val="15"/>
        </w:rPr>
        <w:t> </w:t>
      </w:r>
      <w:r>
        <w:rPr>
          <w:color w:val="231F20"/>
          <w:sz w:val="15"/>
        </w:rPr>
        <w:t>Asia</w:t>
      </w:r>
      <w:r>
        <w:rPr>
          <w:color w:val="231F20"/>
          <w:spacing w:val="-6"/>
          <w:sz w:val="15"/>
        </w:rPr>
        <w:t> </w:t>
      </w:r>
      <w:r>
        <w:rPr>
          <w:color w:val="231F20"/>
          <w:sz w:val="15"/>
        </w:rPr>
        <w:t>found</w:t>
      </w:r>
      <w:r>
        <w:rPr>
          <w:color w:val="231F20"/>
          <w:spacing w:val="-6"/>
          <w:sz w:val="15"/>
        </w:rPr>
        <w:t> </w:t>
      </w:r>
      <w:r>
        <w:rPr>
          <w:color w:val="231F20"/>
          <w:sz w:val="15"/>
        </w:rPr>
        <w:t>that</w:t>
      </w:r>
      <w:r>
        <w:rPr>
          <w:color w:val="231F20"/>
          <w:spacing w:val="-7"/>
          <w:sz w:val="15"/>
        </w:rPr>
        <w:t> </w:t>
      </w:r>
      <w:r>
        <w:rPr>
          <w:color w:val="231F20"/>
          <w:sz w:val="15"/>
        </w:rPr>
        <w:t>both</w:t>
      </w:r>
      <w:r>
        <w:rPr>
          <w:color w:val="231F20"/>
          <w:spacing w:val="-6"/>
          <w:sz w:val="15"/>
        </w:rPr>
        <w:t> </w:t>
      </w:r>
      <w:r>
        <w:rPr>
          <w:color w:val="231F20"/>
          <w:sz w:val="15"/>
        </w:rPr>
        <w:t>refugees and IDPs who were displaced for more than 10 years, even though not in camps, were generally poorer</w:t>
      </w:r>
      <w:r>
        <w:rPr>
          <w:color w:val="231F20"/>
          <w:spacing w:val="-12"/>
          <w:sz w:val="15"/>
        </w:rPr>
        <w:t> </w:t>
      </w:r>
      <w:r>
        <w:rPr>
          <w:color w:val="231F20"/>
          <w:sz w:val="15"/>
        </w:rPr>
        <w:t>and</w:t>
      </w:r>
      <w:r>
        <w:rPr>
          <w:color w:val="231F20"/>
          <w:spacing w:val="-12"/>
          <w:sz w:val="15"/>
        </w:rPr>
        <w:t> </w:t>
      </w:r>
      <w:r>
        <w:rPr>
          <w:color w:val="231F20"/>
          <w:sz w:val="15"/>
        </w:rPr>
        <w:t>had</w:t>
      </w:r>
      <w:r>
        <w:rPr>
          <w:color w:val="231F20"/>
          <w:spacing w:val="-12"/>
          <w:sz w:val="15"/>
        </w:rPr>
        <w:t> </w:t>
      </w:r>
      <w:r>
        <w:rPr>
          <w:color w:val="231F20"/>
          <w:sz w:val="15"/>
        </w:rPr>
        <w:t>higher</w:t>
      </w:r>
      <w:r>
        <w:rPr>
          <w:color w:val="231F20"/>
          <w:spacing w:val="-11"/>
          <w:sz w:val="15"/>
        </w:rPr>
        <w:t> </w:t>
      </w:r>
      <w:r>
        <w:rPr>
          <w:color w:val="231F20"/>
          <w:sz w:val="15"/>
        </w:rPr>
        <w:t>unemployment</w:t>
      </w:r>
      <w:r>
        <w:rPr>
          <w:color w:val="231F20"/>
          <w:spacing w:val="-12"/>
          <w:sz w:val="15"/>
        </w:rPr>
        <w:t> </w:t>
      </w:r>
      <w:r>
        <w:rPr>
          <w:color w:val="231F20"/>
          <w:sz w:val="15"/>
        </w:rPr>
        <w:t>rates,</w:t>
      </w:r>
      <w:r>
        <w:rPr>
          <w:color w:val="231F20"/>
          <w:spacing w:val="-12"/>
          <w:sz w:val="15"/>
        </w:rPr>
        <w:t> </w:t>
      </w:r>
      <w:r>
        <w:rPr>
          <w:color w:val="231F20"/>
          <w:sz w:val="15"/>
        </w:rPr>
        <w:t>fewer</w:t>
      </w:r>
      <w:r>
        <w:rPr>
          <w:color w:val="231F20"/>
          <w:spacing w:val="-12"/>
          <w:sz w:val="15"/>
        </w:rPr>
        <w:t> </w:t>
      </w:r>
      <w:r>
        <w:rPr>
          <w:color w:val="231F20"/>
          <w:sz w:val="15"/>
        </w:rPr>
        <w:t>material</w:t>
      </w:r>
      <w:r>
        <w:rPr>
          <w:color w:val="231F20"/>
          <w:spacing w:val="-11"/>
          <w:sz w:val="15"/>
        </w:rPr>
        <w:t> </w:t>
      </w:r>
      <w:r>
        <w:rPr>
          <w:color w:val="231F20"/>
          <w:sz w:val="15"/>
        </w:rPr>
        <w:t>assets</w:t>
      </w:r>
      <w:r>
        <w:rPr>
          <w:color w:val="231F20"/>
          <w:spacing w:val="-12"/>
          <w:sz w:val="15"/>
        </w:rPr>
        <w:t> </w:t>
      </w:r>
      <w:r>
        <w:rPr>
          <w:color w:val="231F20"/>
          <w:sz w:val="15"/>
        </w:rPr>
        <w:t>and</w:t>
      </w:r>
      <w:r>
        <w:rPr>
          <w:color w:val="231F20"/>
          <w:spacing w:val="-12"/>
          <w:sz w:val="15"/>
        </w:rPr>
        <w:t> </w:t>
      </w:r>
      <w:r>
        <w:rPr>
          <w:color w:val="231F20"/>
          <w:sz w:val="15"/>
        </w:rPr>
        <w:t>less</w:t>
      </w:r>
      <w:r>
        <w:rPr>
          <w:color w:val="231F20"/>
          <w:spacing w:val="-12"/>
          <w:sz w:val="15"/>
        </w:rPr>
        <w:t> </w:t>
      </w:r>
      <w:r>
        <w:rPr>
          <w:color w:val="231F20"/>
          <w:sz w:val="15"/>
        </w:rPr>
        <w:t>access</w:t>
      </w:r>
      <w:r>
        <w:rPr>
          <w:color w:val="231F20"/>
          <w:spacing w:val="-11"/>
          <w:sz w:val="15"/>
        </w:rPr>
        <w:t> </w:t>
      </w:r>
      <w:r>
        <w:rPr>
          <w:color w:val="231F20"/>
          <w:sz w:val="15"/>
        </w:rPr>
        <w:t>to</w:t>
      </w:r>
      <w:r>
        <w:rPr>
          <w:color w:val="231F20"/>
          <w:spacing w:val="-12"/>
          <w:sz w:val="15"/>
        </w:rPr>
        <w:t> </w:t>
      </w:r>
      <w:r>
        <w:rPr>
          <w:color w:val="231F20"/>
          <w:sz w:val="15"/>
        </w:rPr>
        <w:t>land</w:t>
      </w:r>
      <w:r>
        <w:rPr>
          <w:color w:val="231F20"/>
          <w:spacing w:val="-12"/>
          <w:sz w:val="15"/>
        </w:rPr>
        <w:t> </w:t>
      </w:r>
      <w:r>
        <w:rPr>
          <w:color w:val="231F20"/>
          <w:sz w:val="15"/>
        </w:rPr>
        <w:t>than</w:t>
      </w:r>
      <w:r>
        <w:rPr>
          <w:color w:val="231F20"/>
          <w:spacing w:val="-12"/>
          <w:sz w:val="15"/>
        </w:rPr>
        <w:t> </w:t>
      </w:r>
      <w:r>
        <w:rPr>
          <w:color w:val="231F20"/>
          <w:sz w:val="15"/>
        </w:rPr>
        <w:t>those who were not displaced. Holtzman, S. B. and Nezam, T., </w:t>
      </w:r>
      <w:r>
        <w:rPr>
          <w:i/>
          <w:color w:val="231F20"/>
          <w:sz w:val="15"/>
        </w:rPr>
        <w:t>Living in Limbo: Conﬂict-induced Displace- </w:t>
      </w:r>
      <w:r>
        <w:rPr>
          <w:i/>
          <w:color w:val="231F20"/>
          <w:sz w:val="15"/>
        </w:rPr>
        <w:t>ment</w:t>
      </w:r>
      <w:r>
        <w:rPr>
          <w:i/>
          <w:color w:val="231F20"/>
          <w:spacing w:val="-4"/>
          <w:sz w:val="15"/>
        </w:rPr>
        <w:t> </w:t>
      </w:r>
      <w:r>
        <w:rPr>
          <w:i/>
          <w:color w:val="231F20"/>
          <w:sz w:val="15"/>
        </w:rPr>
        <w:t>in</w:t>
      </w:r>
      <w:r>
        <w:rPr>
          <w:i/>
          <w:color w:val="231F20"/>
          <w:spacing w:val="-4"/>
          <w:sz w:val="15"/>
        </w:rPr>
        <w:t> </w:t>
      </w:r>
      <w:r>
        <w:rPr>
          <w:i/>
          <w:color w:val="231F20"/>
          <w:sz w:val="15"/>
        </w:rPr>
        <w:t>Europe</w:t>
      </w:r>
      <w:r>
        <w:rPr>
          <w:i/>
          <w:color w:val="231F20"/>
          <w:spacing w:val="-3"/>
          <w:sz w:val="15"/>
        </w:rPr>
        <w:t> </w:t>
      </w:r>
      <w:r>
        <w:rPr>
          <w:i/>
          <w:color w:val="231F20"/>
          <w:sz w:val="15"/>
        </w:rPr>
        <w:t>and</w:t>
      </w:r>
      <w:r>
        <w:rPr>
          <w:i/>
          <w:color w:val="231F20"/>
          <w:spacing w:val="-4"/>
          <w:sz w:val="15"/>
        </w:rPr>
        <w:t> </w:t>
      </w:r>
      <w:r>
        <w:rPr>
          <w:i/>
          <w:color w:val="231F20"/>
          <w:sz w:val="15"/>
        </w:rPr>
        <w:t>Central</w:t>
      </w:r>
      <w:r>
        <w:rPr>
          <w:i/>
          <w:color w:val="231F20"/>
          <w:spacing w:val="-4"/>
          <w:sz w:val="15"/>
        </w:rPr>
        <w:t> </w:t>
      </w:r>
      <w:r>
        <w:rPr>
          <w:i/>
          <w:color w:val="231F20"/>
          <w:sz w:val="15"/>
        </w:rPr>
        <w:t>Aisia</w:t>
      </w:r>
      <w:r>
        <w:rPr>
          <w:i/>
          <w:color w:val="231F20"/>
          <w:spacing w:val="-3"/>
          <w:sz w:val="15"/>
        </w:rPr>
        <w:t> </w:t>
      </w:r>
      <w:r>
        <w:rPr>
          <w:color w:val="231F20"/>
          <w:sz w:val="15"/>
        </w:rPr>
        <w:t>(World</w:t>
      </w:r>
      <w:r>
        <w:rPr>
          <w:color w:val="231F20"/>
          <w:spacing w:val="-4"/>
          <w:sz w:val="15"/>
        </w:rPr>
        <w:t> </w:t>
      </w:r>
      <w:r>
        <w:rPr>
          <w:color w:val="231F20"/>
          <w:sz w:val="15"/>
        </w:rPr>
        <w:t>Bank:</w:t>
      </w:r>
      <w:r>
        <w:rPr>
          <w:color w:val="231F20"/>
          <w:spacing w:val="-4"/>
          <w:sz w:val="15"/>
        </w:rPr>
        <w:t> </w:t>
      </w:r>
      <w:r>
        <w:rPr>
          <w:color w:val="231F20"/>
          <w:sz w:val="15"/>
        </w:rPr>
        <w:t>Washington,</w:t>
      </w:r>
      <w:r>
        <w:rPr>
          <w:color w:val="231F20"/>
          <w:spacing w:val="-3"/>
          <w:sz w:val="15"/>
        </w:rPr>
        <w:t> </w:t>
      </w:r>
      <w:r>
        <w:rPr>
          <w:color w:val="231F20"/>
          <w:sz w:val="15"/>
        </w:rPr>
        <w:t>DC,</w:t>
      </w:r>
      <w:r>
        <w:rPr>
          <w:color w:val="231F20"/>
          <w:spacing w:val="-4"/>
          <w:sz w:val="15"/>
        </w:rPr>
        <w:t> </w:t>
      </w:r>
      <w:r>
        <w:rPr>
          <w:color w:val="231F20"/>
          <w:sz w:val="15"/>
        </w:rPr>
        <w:t>2004).</w:t>
      </w:r>
    </w:p>
    <w:p>
      <w:pPr>
        <w:pStyle w:val="ListParagraph"/>
        <w:numPr>
          <w:ilvl w:val="1"/>
          <w:numId w:val="1"/>
        </w:numPr>
        <w:tabs>
          <w:tab w:pos="378" w:val="left" w:leader="none"/>
        </w:tabs>
        <w:spacing w:line="211" w:lineRule="auto" w:before="1" w:after="0"/>
        <w:ind w:left="101" w:right="120" w:firstLine="182"/>
        <w:jc w:val="both"/>
        <w:rPr>
          <w:sz w:val="15"/>
        </w:rPr>
      </w:pPr>
      <w:r>
        <w:rPr>
          <w:color w:val="231F20"/>
          <w:sz w:val="15"/>
        </w:rPr>
        <w:t>Cohen, R. and Deng, F. M., </w:t>
      </w:r>
      <w:r>
        <w:rPr>
          <w:i/>
          <w:color w:val="231F20"/>
          <w:sz w:val="15"/>
        </w:rPr>
        <w:t>Masses in Flight: The Global Crisis of Internal Displacement </w:t>
      </w:r>
      <w:r>
        <w:rPr>
          <w:color w:val="231F20"/>
          <w:sz w:val="15"/>
        </w:rPr>
        <w:t>(Brook- ings</w:t>
      </w:r>
      <w:r>
        <w:rPr>
          <w:color w:val="231F20"/>
          <w:spacing w:val="-5"/>
          <w:sz w:val="15"/>
        </w:rPr>
        <w:t> </w:t>
      </w:r>
      <w:r>
        <w:rPr>
          <w:color w:val="231F20"/>
          <w:sz w:val="15"/>
        </w:rPr>
        <w:t>Institution</w:t>
      </w:r>
      <w:r>
        <w:rPr>
          <w:color w:val="231F20"/>
          <w:spacing w:val="-5"/>
          <w:sz w:val="15"/>
        </w:rPr>
        <w:t> </w:t>
      </w:r>
      <w:r>
        <w:rPr>
          <w:color w:val="231F20"/>
          <w:sz w:val="15"/>
        </w:rPr>
        <w:t>Press:</w:t>
      </w:r>
      <w:r>
        <w:rPr>
          <w:color w:val="231F20"/>
          <w:spacing w:val="-5"/>
          <w:sz w:val="15"/>
        </w:rPr>
        <w:t> </w:t>
      </w:r>
      <w:r>
        <w:rPr>
          <w:color w:val="231F20"/>
          <w:sz w:val="15"/>
        </w:rPr>
        <w:t>Washington,</w:t>
      </w:r>
      <w:r>
        <w:rPr>
          <w:color w:val="231F20"/>
          <w:spacing w:val="-5"/>
          <w:sz w:val="15"/>
        </w:rPr>
        <w:t> </w:t>
      </w:r>
      <w:r>
        <w:rPr>
          <w:color w:val="231F20"/>
          <w:sz w:val="15"/>
        </w:rPr>
        <w:t>DC,</w:t>
      </w:r>
      <w:r>
        <w:rPr>
          <w:color w:val="231F20"/>
          <w:spacing w:val="-5"/>
          <w:sz w:val="15"/>
        </w:rPr>
        <w:t> </w:t>
      </w:r>
      <w:r>
        <w:rPr>
          <w:color w:val="231F20"/>
          <w:sz w:val="15"/>
        </w:rPr>
        <w:t>1998),</w:t>
      </w:r>
      <w:r>
        <w:rPr>
          <w:color w:val="231F20"/>
          <w:spacing w:val="-5"/>
          <w:sz w:val="15"/>
        </w:rPr>
        <w:t> </w:t>
      </w:r>
      <w:r>
        <w:rPr>
          <w:color w:val="231F20"/>
          <w:sz w:val="15"/>
        </w:rPr>
        <w:t>pp.</w:t>
      </w:r>
      <w:r>
        <w:rPr>
          <w:color w:val="231F20"/>
          <w:spacing w:val="-5"/>
          <w:sz w:val="15"/>
        </w:rPr>
        <w:t> </w:t>
      </w:r>
      <w:r>
        <w:rPr>
          <w:color w:val="231F20"/>
          <w:sz w:val="15"/>
        </w:rPr>
        <w:t>23–26.</w:t>
      </w:r>
    </w:p>
    <w:p>
      <w:pPr>
        <w:pStyle w:val="ListParagraph"/>
        <w:numPr>
          <w:ilvl w:val="1"/>
          <w:numId w:val="1"/>
        </w:numPr>
        <w:tabs>
          <w:tab w:pos="378" w:val="left" w:leader="none"/>
        </w:tabs>
        <w:spacing w:line="213" w:lineRule="auto" w:before="2" w:after="0"/>
        <w:ind w:left="100" w:right="120" w:firstLine="182"/>
        <w:jc w:val="both"/>
        <w:rPr>
          <w:sz w:val="15"/>
        </w:rPr>
      </w:pPr>
      <w:r>
        <w:rPr>
          <w:color w:val="231F20"/>
          <w:sz w:val="15"/>
        </w:rPr>
        <w:t>Mooney, E. and French, C., ‘Barriers and bridges: access to education for internally displaced children’, Brookings–Bern Project on Internal Displacement, Jan. 2005, &lt;http://www.brookings. edu/papers/2005/0111humanrights_mooney.aspx&gt;.</w:t>
      </w:r>
    </w:p>
    <w:p>
      <w:pPr>
        <w:pStyle w:val="ListParagraph"/>
        <w:numPr>
          <w:ilvl w:val="1"/>
          <w:numId w:val="1"/>
        </w:numPr>
        <w:tabs>
          <w:tab w:pos="378" w:val="left" w:leader="none"/>
        </w:tabs>
        <w:spacing w:line="213" w:lineRule="auto" w:before="0" w:after="0"/>
        <w:ind w:left="100" w:right="119" w:firstLine="182"/>
        <w:jc w:val="both"/>
        <w:rPr>
          <w:sz w:val="15"/>
        </w:rPr>
      </w:pPr>
      <w:r>
        <w:rPr>
          <w:color w:val="231F20"/>
          <w:sz w:val="15"/>
        </w:rPr>
        <w:t>Cohen and Deng (note 7), pp. 23–29; and World Health Organization (WHO), ‘Internally dis- placed</w:t>
      </w:r>
      <w:r>
        <w:rPr>
          <w:color w:val="231F20"/>
          <w:spacing w:val="-7"/>
          <w:sz w:val="15"/>
        </w:rPr>
        <w:t> </w:t>
      </w:r>
      <w:r>
        <w:rPr>
          <w:color w:val="231F20"/>
          <w:sz w:val="15"/>
        </w:rPr>
        <w:t>persons,</w:t>
      </w:r>
      <w:r>
        <w:rPr>
          <w:color w:val="231F20"/>
          <w:spacing w:val="-6"/>
          <w:sz w:val="15"/>
        </w:rPr>
        <w:t> </w:t>
      </w:r>
      <w:r>
        <w:rPr>
          <w:color w:val="231F20"/>
          <w:sz w:val="15"/>
        </w:rPr>
        <w:t>health</w:t>
      </w:r>
      <w:r>
        <w:rPr>
          <w:color w:val="231F20"/>
          <w:spacing w:val="-6"/>
          <w:sz w:val="15"/>
        </w:rPr>
        <w:t> </w:t>
      </w:r>
      <w:r>
        <w:rPr>
          <w:color w:val="231F20"/>
          <w:sz w:val="15"/>
        </w:rPr>
        <w:t>and</w:t>
      </w:r>
      <w:r>
        <w:rPr>
          <w:color w:val="231F20"/>
          <w:spacing w:val="-7"/>
          <w:sz w:val="15"/>
        </w:rPr>
        <w:t> </w:t>
      </w:r>
      <w:r>
        <w:rPr>
          <w:color w:val="231F20"/>
          <w:sz w:val="15"/>
        </w:rPr>
        <w:t>WHO’,</w:t>
      </w:r>
      <w:r>
        <w:rPr>
          <w:color w:val="231F20"/>
          <w:spacing w:val="-6"/>
          <w:sz w:val="15"/>
        </w:rPr>
        <w:t> </w:t>
      </w:r>
      <w:r>
        <w:rPr>
          <w:color w:val="231F20"/>
          <w:sz w:val="15"/>
        </w:rPr>
        <w:t>Paper</w:t>
      </w:r>
      <w:r>
        <w:rPr>
          <w:color w:val="231F20"/>
          <w:spacing w:val="-6"/>
          <w:sz w:val="15"/>
        </w:rPr>
        <w:t> </w:t>
      </w:r>
      <w:r>
        <w:rPr>
          <w:color w:val="231F20"/>
          <w:sz w:val="15"/>
        </w:rPr>
        <w:t>presented</w:t>
      </w:r>
      <w:r>
        <w:rPr>
          <w:color w:val="231F20"/>
          <w:spacing w:val="-6"/>
          <w:sz w:val="15"/>
        </w:rPr>
        <w:t> </w:t>
      </w:r>
      <w:r>
        <w:rPr>
          <w:color w:val="231F20"/>
          <w:sz w:val="15"/>
        </w:rPr>
        <w:t>at</w:t>
      </w:r>
      <w:r>
        <w:rPr>
          <w:color w:val="231F20"/>
          <w:spacing w:val="-7"/>
          <w:sz w:val="15"/>
        </w:rPr>
        <w:t> </w:t>
      </w:r>
      <w:r>
        <w:rPr>
          <w:color w:val="231F20"/>
          <w:sz w:val="15"/>
        </w:rPr>
        <w:t>the</w:t>
      </w:r>
      <w:r>
        <w:rPr>
          <w:color w:val="231F20"/>
          <w:spacing w:val="-6"/>
          <w:sz w:val="15"/>
        </w:rPr>
        <w:t> </w:t>
      </w:r>
      <w:r>
        <w:rPr>
          <w:color w:val="231F20"/>
          <w:sz w:val="15"/>
        </w:rPr>
        <w:t>humanitarian</w:t>
      </w:r>
      <w:r>
        <w:rPr>
          <w:color w:val="231F20"/>
          <w:spacing w:val="-6"/>
          <w:sz w:val="15"/>
        </w:rPr>
        <w:t> </w:t>
      </w:r>
      <w:r>
        <w:rPr>
          <w:color w:val="231F20"/>
          <w:sz w:val="15"/>
        </w:rPr>
        <w:t>affairs</w:t>
      </w:r>
      <w:r>
        <w:rPr>
          <w:color w:val="231F20"/>
          <w:spacing w:val="-7"/>
          <w:sz w:val="15"/>
        </w:rPr>
        <w:t> </w:t>
      </w:r>
      <w:r>
        <w:rPr>
          <w:color w:val="231F20"/>
          <w:sz w:val="15"/>
        </w:rPr>
        <w:t>segment</w:t>
      </w:r>
      <w:r>
        <w:rPr>
          <w:color w:val="231F20"/>
          <w:spacing w:val="-6"/>
          <w:sz w:val="15"/>
        </w:rPr>
        <w:t> </w:t>
      </w:r>
      <w:r>
        <w:rPr>
          <w:color w:val="231F20"/>
          <w:sz w:val="15"/>
        </w:rPr>
        <w:t>of</w:t>
      </w:r>
      <w:r>
        <w:rPr>
          <w:color w:val="231F20"/>
          <w:spacing w:val="-6"/>
          <w:sz w:val="15"/>
        </w:rPr>
        <w:t> </w:t>
      </w:r>
      <w:r>
        <w:rPr>
          <w:color w:val="231F20"/>
          <w:sz w:val="15"/>
        </w:rPr>
        <w:t>the</w:t>
      </w:r>
      <w:r>
        <w:rPr>
          <w:color w:val="231F20"/>
          <w:spacing w:val="-6"/>
          <w:sz w:val="15"/>
        </w:rPr>
        <w:t> </w:t>
      </w:r>
      <w:r>
        <w:rPr>
          <w:color w:val="231F20"/>
          <w:sz w:val="15"/>
        </w:rPr>
        <w:t>sub- stantive</w:t>
      </w:r>
      <w:r>
        <w:rPr>
          <w:color w:val="231F20"/>
          <w:spacing w:val="-7"/>
          <w:sz w:val="15"/>
        </w:rPr>
        <w:t> </w:t>
      </w:r>
      <w:r>
        <w:rPr>
          <w:color w:val="231F20"/>
          <w:sz w:val="15"/>
        </w:rPr>
        <w:t>session</w:t>
      </w:r>
      <w:r>
        <w:rPr>
          <w:color w:val="231F20"/>
          <w:spacing w:val="-7"/>
          <w:sz w:val="15"/>
        </w:rPr>
        <w:t> </w:t>
      </w:r>
      <w:r>
        <w:rPr>
          <w:color w:val="231F20"/>
          <w:sz w:val="15"/>
        </w:rPr>
        <w:t>of</w:t>
      </w:r>
      <w:r>
        <w:rPr>
          <w:color w:val="231F20"/>
          <w:spacing w:val="-7"/>
          <w:sz w:val="15"/>
        </w:rPr>
        <w:t> </w:t>
      </w:r>
      <w:r>
        <w:rPr>
          <w:color w:val="231F20"/>
          <w:sz w:val="15"/>
        </w:rPr>
        <w:t>the</w:t>
      </w:r>
      <w:r>
        <w:rPr>
          <w:color w:val="231F20"/>
          <w:spacing w:val="-6"/>
          <w:sz w:val="15"/>
        </w:rPr>
        <w:t> </w:t>
      </w:r>
      <w:r>
        <w:rPr>
          <w:color w:val="231F20"/>
          <w:sz w:val="15"/>
        </w:rPr>
        <w:t>UN</w:t>
      </w:r>
      <w:r>
        <w:rPr>
          <w:color w:val="231F20"/>
          <w:spacing w:val="-7"/>
          <w:sz w:val="15"/>
        </w:rPr>
        <w:t> </w:t>
      </w:r>
      <w:r>
        <w:rPr>
          <w:color w:val="231F20"/>
          <w:sz w:val="15"/>
        </w:rPr>
        <w:t>Economic</w:t>
      </w:r>
      <w:r>
        <w:rPr>
          <w:color w:val="231F20"/>
          <w:spacing w:val="-7"/>
          <w:sz w:val="15"/>
        </w:rPr>
        <w:t> </w:t>
      </w:r>
      <w:r>
        <w:rPr>
          <w:color w:val="231F20"/>
          <w:sz w:val="15"/>
        </w:rPr>
        <w:t>and</w:t>
      </w:r>
      <w:r>
        <w:rPr>
          <w:color w:val="231F20"/>
          <w:spacing w:val="-6"/>
          <w:sz w:val="15"/>
        </w:rPr>
        <w:t> </w:t>
      </w:r>
      <w:r>
        <w:rPr>
          <w:color w:val="231F20"/>
          <w:sz w:val="15"/>
        </w:rPr>
        <w:t>Social</w:t>
      </w:r>
      <w:r>
        <w:rPr>
          <w:color w:val="231F20"/>
          <w:spacing w:val="-7"/>
          <w:sz w:val="15"/>
        </w:rPr>
        <w:t> </w:t>
      </w:r>
      <w:r>
        <w:rPr>
          <w:color w:val="231F20"/>
          <w:sz w:val="15"/>
        </w:rPr>
        <w:t>Council,</w:t>
      </w:r>
      <w:r>
        <w:rPr>
          <w:color w:val="231F20"/>
          <w:spacing w:val="-7"/>
          <w:sz w:val="15"/>
        </w:rPr>
        <w:t> </w:t>
      </w:r>
      <w:r>
        <w:rPr>
          <w:color w:val="231F20"/>
          <w:sz w:val="15"/>
        </w:rPr>
        <w:t>New</w:t>
      </w:r>
      <w:r>
        <w:rPr>
          <w:color w:val="231F20"/>
          <w:spacing w:val="-7"/>
          <w:sz w:val="15"/>
        </w:rPr>
        <w:t> </w:t>
      </w:r>
      <w:r>
        <w:rPr>
          <w:color w:val="231F20"/>
          <w:sz w:val="15"/>
        </w:rPr>
        <w:t>York,</w:t>
      </w:r>
      <w:r>
        <w:rPr>
          <w:color w:val="231F20"/>
          <w:spacing w:val="-6"/>
          <w:sz w:val="15"/>
        </w:rPr>
        <w:t> </w:t>
      </w:r>
      <w:r>
        <w:rPr>
          <w:color w:val="231F20"/>
          <w:sz w:val="15"/>
        </w:rPr>
        <w:t>19–20</w:t>
      </w:r>
      <w:r>
        <w:rPr>
          <w:color w:val="231F20"/>
          <w:spacing w:val="-7"/>
          <w:sz w:val="15"/>
        </w:rPr>
        <w:t> </w:t>
      </w:r>
      <w:r>
        <w:rPr>
          <w:color w:val="231F20"/>
          <w:sz w:val="15"/>
        </w:rPr>
        <w:t>July</w:t>
      </w:r>
      <w:r>
        <w:rPr>
          <w:color w:val="231F20"/>
          <w:spacing w:val="-7"/>
          <w:sz w:val="15"/>
        </w:rPr>
        <w:t> </w:t>
      </w:r>
      <w:r>
        <w:rPr>
          <w:color w:val="231F20"/>
          <w:sz w:val="15"/>
        </w:rPr>
        <w:t>2000,</w:t>
      </w:r>
      <w:r>
        <w:rPr>
          <w:color w:val="231F20"/>
          <w:spacing w:val="-6"/>
          <w:sz w:val="15"/>
        </w:rPr>
        <w:t> </w:t>
      </w:r>
      <w:r>
        <w:rPr>
          <w:color w:val="231F20"/>
          <w:sz w:val="15"/>
        </w:rPr>
        <w:t>p.</w:t>
      </w:r>
      <w:r>
        <w:rPr>
          <w:color w:val="231F20"/>
          <w:spacing w:val="-7"/>
          <w:sz w:val="15"/>
        </w:rPr>
        <w:t> </w:t>
      </w:r>
      <w:r>
        <w:rPr>
          <w:color w:val="231F20"/>
          <w:sz w:val="15"/>
        </w:rPr>
        <w:t>5.</w:t>
      </w:r>
    </w:p>
    <w:p>
      <w:pPr>
        <w:pStyle w:val="ListParagraph"/>
        <w:numPr>
          <w:ilvl w:val="1"/>
          <w:numId w:val="1"/>
        </w:numPr>
        <w:tabs>
          <w:tab w:pos="440" w:val="left" w:leader="none"/>
        </w:tabs>
        <w:spacing w:line="213" w:lineRule="auto" w:before="0" w:after="0"/>
        <w:ind w:left="100" w:right="121" w:firstLine="182"/>
        <w:jc w:val="both"/>
        <w:rPr>
          <w:sz w:val="15"/>
        </w:rPr>
      </w:pPr>
      <w:r>
        <w:rPr>
          <w:color w:val="231F20"/>
          <w:sz w:val="15"/>
        </w:rPr>
        <w:t>International Committee of the Red Cross (ICRC), ‘ICRC position on internally displaced persons (IDPs)’, May 2006, </w:t>
      </w:r>
      <w:hyperlink r:id="rId8">
        <w:r>
          <w:rPr>
            <w:color w:val="231F20"/>
            <w:sz w:val="15"/>
          </w:rPr>
          <w:t>&lt;http://www.icrc.org/Web/Eng/siteeng0.nsf/html/idp-icrc-position-03</w:t>
        </w:r>
      </w:hyperlink>
      <w:r>
        <w:rPr>
          <w:color w:val="231F20"/>
          <w:sz w:val="15"/>
        </w:rPr>
        <w:t> 0706&gt;, p.</w:t>
      </w:r>
      <w:r>
        <w:rPr>
          <w:color w:val="231F20"/>
          <w:spacing w:val="-8"/>
          <w:sz w:val="15"/>
        </w:rPr>
        <w:t> </w:t>
      </w:r>
      <w:r>
        <w:rPr>
          <w:color w:val="231F20"/>
          <w:sz w:val="15"/>
        </w:rPr>
        <w:t>3.</w:t>
      </w:r>
    </w:p>
    <w:p>
      <w:pPr>
        <w:spacing w:after="0" w:line="213" w:lineRule="auto"/>
        <w:jc w:val="both"/>
        <w:rPr>
          <w:sz w:val="15"/>
        </w:rPr>
        <w:sectPr>
          <w:pgSz w:w="8850" w:h="13270"/>
          <w:pgMar w:header="793" w:footer="0" w:top="1080" w:bottom="280" w:left="1080" w:right="1060"/>
        </w:sectPr>
      </w:pPr>
    </w:p>
    <w:p>
      <w:pPr>
        <w:pStyle w:val="BodyText"/>
        <w:spacing w:line="278" w:lineRule="auto" w:before="141"/>
        <w:ind w:right="115" w:firstLine="180"/>
      </w:pPr>
      <w:r>
        <w:rPr>
          <w:color w:val="231F20"/>
        </w:rPr>
        <w:t>When large numbers of refugees and IDPs remain in camps for long periods serious security problems may arise, most notably the militariza-  tion of camps.</w:t>
      </w:r>
      <w:r>
        <w:rPr>
          <w:rFonts w:ascii="Adobe Jenson Pro Lt Capt" w:hAnsi="Adobe Jenson Pro Lt Capt"/>
          <w:b w:val="0"/>
          <w:color w:val="231F20"/>
          <w:position w:val="6"/>
          <w:sz w:val="12"/>
        </w:rPr>
        <w:t>11  </w:t>
      </w:r>
      <w:r>
        <w:rPr>
          <w:color w:val="231F20"/>
        </w:rPr>
        <w:t>In Pakistan in the 1980s, Afghan refugees were armed by   the West to ﬁght against the Soviet occupation of their  homeland.  In  Darfur, Sudan, today, IDP camps are reported to be awash with arms and rebel ﬁghters, making the camps more susceptible  to  attack.</w:t>
      </w:r>
      <w:r>
        <w:rPr>
          <w:rFonts w:ascii="Adobe Jenson Pro Lt Capt" w:hAnsi="Adobe Jenson Pro Lt Capt"/>
          <w:b w:val="0"/>
          <w:color w:val="231F20"/>
          <w:position w:val="6"/>
          <w:sz w:val="12"/>
        </w:rPr>
        <w:t>12  </w:t>
      </w:r>
      <w:r>
        <w:rPr>
          <w:color w:val="231F20"/>
        </w:rPr>
        <w:t>In  Jordan and Syria, many have expressed the fear that Iraqi refugees, although not in camps, could over time ‘ignite sectarian and ethnic conﬂict’ in their host countries.</w:t>
      </w:r>
      <w:r>
        <w:rPr>
          <w:rFonts w:ascii="Adobe Jenson Pro Lt Capt" w:hAnsi="Adobe Jenson Pro Lt Capt"/>
          <w:b w:val="0"/>
          <w:color w:val="231F20"/>
          <w:position w:val="6"/>
          <w:sz w:val="12"/>
        </w:rPr>
        <w:t>13 </w:t>
      </w:r>
      <w:r>
        <w:rPr>
          <w:color w:val="231F20"/>
        </w:rPr>
        <w:t>The Palestinian refugee situation continues to exemplify the violence and terrorism that can arise when refugee situations remain unresolved.</w:t>
      </w:r>
    </w:p>
    <w:p>
      <w:pPr>
        <w:pStyle w:val="BodyText"/>
        <w:spacing w:line="278" w:lineRule="auto"/>
        <w:ind w:right="117" w:firstLine="180"/>
      </w:pPr>
      <w:r>
        <w:rPr>
          <w:color w:val="231F20"/>
        </w:rPr>
        <w:t>Between half and three-quarters of all major refugee and IDP situations  are protracted, that is, they last 5 years or more, whether in camps or in urban centres.</w:t>
      </w:r>
      <w:r>
        <w:rPr>
          <w:rFonts w:ascii="Adobe Jenson Pro Lt Capt" w:hAnsi="Adobe Jenson Pro Lt Capt"/>
          <w:b w:val="0"/>
          <w:color w:val="231F20"/>
          <w:position w:val="6"/>
          <w:sz w:val="12"/>
        </w:rPr>
        <w:t>14 </w:t>
      </w:r>
      <w:r>
        <w:rPr>
          <w:color w:val="231F20"/>
        </w:rPr>
        <w:t>In Darfur, Sudan, more than 2 million IDPs have been in camps since 2003–2004 unable to return home because of the violence and destruction in their home areas. In the Balkans, displaced people, espec-  ially the elderly, the disabled and members of minorities, can still be found living in collective centres even though the conﬂict has been over for more than 10 years.</w:t>
      </w:r>
      <w:r>
        <w:rPr>
          <w:rFonts w:ascii="Adobe Jenson Pro Lt Capt" w:hAnsi="Adobe Jenson Pro Lt Capt"/>
          <w:b w:val="0"/>
          <w:color w:val="231F20"/>
          <w:position w:val="6"/>
          <w:sz w:val="12"/>
        </w:rPr>
        <w:t>15 </w:t>
      </w:r>
      <w:r>
        <w:rPr>
          <w:color w:val="231F20"/>
        </w:rPr>
        <w:t>In the ‘frozen’ conﬂicts in the South  Caucasus,  govern- ments have often been reluctant to help IDPs integrate; instead they have held them hostage to the political goal of returning home to reclaim areas  lost by conﬂict. Thus, in Azerbaijan, Kälin found IDPs still living ‘in tent camps, railway wagons and mud brick houses after more than a decade’,    and in urban areas most IDPs were in ‘run-down, overcrowded dormitories or public buildings, including former schools’.</w:t>
      </w:r>
      <w:r>
        <w:rPr>
          <w:rFonts w:ascii="Adobe Jenson Pro Lt Capt" w:hAnsi="Adobe Jenson Pro Lt Capt"/>
          <w:b w:val="0"/>
          <w:color w:val="231F20"/>
          <w:position w:val="6"/>
          <w:sz w:val="12"/>
        </w:rPr>
        <w:t>16 </w:t>
      </w:r>
      <w:r>
        <w:rPr>
          <w:color w:val="231F20"/>
        </w:rPr>
        <w:t>The displaced in Georgia, sometimes</w:t>
      </w:r>
      <w:r>
        <w:rPr>
          <w:color w:val="231F20"/>
          <w:spacing w:val="24"/>
        </w:rPr>
        <w:t> </w:t>
      </w:r>
      <w:r>
        <w:rPr>
          <w:color w:val="231F20"/>
        </w:rPr>
        <w:t>called</w:t>
      </w:r>
      <w:r>
        <w:rPr>
          <w:color w:val="231F20"/>
          <w:spacing w:val="24"/>
        </w:rPr>
        <w:t> </w:t>
      </w:r>
      <w:r>
        <w:rPr>
          <w:color w:val="231F20"/>
        </w:rPr>
        <w:t>the</w:t>
      </w:r>
      <w:r>
        <w:rPr>
          <w:color w:val="231F20"/>
          <w:spacing w:val="25"/>
        </w:rPr>
        <w:t> </w:t>
      </w:r>
      <w:r>
        <w:rPr>
          <w:color w:val="231F20"/>
        </w:rPr>
        <w:t>‘Palestinians</w:t>
      </w:r>
      <w:r>
        <w:rPr>
          <w:color w:val="231F20"/>
          <w:spacing w:val="24"/>
        </w:rPr>
        <w:t> </w:t>
      </w:r>
      <w:r>
        <w:rPr>
          <w:color w:val="231F20"/>
        </w:rPr>
        <w:t>of</w:t>
      </w:r>
      <w:r>
        <w:rPr>
          <w:color w:val="231F20"/>
          <w:spacing w:val="24"/>
        </w:rPr>
        <w:t> </w:t>
      </w:r>
      <w:r>
        <w:rPr>
          <w:color w:val="231F20"/>
        </w:rPr>
        <w:t>the</w:t>
      </w:r>
      <w:r>
        <w:rPr>
          <w:color w:val="231F20"/>
          <w:spacing w:val="25"/>
        </w:rPr>
        <w:t> </w:t>
      </w:r>
      <w:r>
        <w:rPr>
          <w:color w:val="231F20"/>
        </w:rPr>
        <w:t>South</w:t>
      </w:r>
      <w:r>
        <w:rPr>
          <w:color w:val="231F20"/>
          <w:spacing w:val="24"/>
        </w:rPr>
        <w:t> </w:t>
      </w:r>
      <w:r>
        <w:rPr>
          <w:color w:val="231F20"/>
        </w:rPr>
        <w:t>Caucasus’,</w:t>
      </w:r>
      <w:r>
        <w:rPr>
          <w:rFonts w:ascii="Adobe Jenson Pro Lt Capt" w:hAnsi="Adobe Jenson Pro Lt Capt"/>
          <w:b w:val="0"/>
          <w:color w:val="231F20"/>
          <w:position w:val="6"/>
          <w:sz w:val="12"/>
        </w:rPr>
        <w:t>17</w:t>
      </w:r>
      <w:r>
        <w:rPr>
          <w:rFonts w:ascii="Adobe Jenson Pro Lt Capt" w:hAnsi="Adobe Jenson Pro Lt Capt"/>
          <w:b w:val="0"/>
          <w:color w:val="231F20"/>
          <w:spacing w:val="28"/>
          <w:position w:val="6"/>
          <w:sz w:val="12"/>
        </w:rPr>
        <w:t> </w:t>
      </w:r>
      <w:r>
        <w:rPr>
          <w:color w:val="231F20"/>
        </w:rPr>
        <w:t>have</w:t>
      </w:r>
      <w:r>
        <w:rPr>
          <w:color w:val="231F20"/>
          <w:spacing w:val="24"/>
        </w:rPr>
        <w:t> </w:t>
      </w:r>
      <w:r>
        <w:rPr>
          <w:color w:val="231F20"/>
        </w:rPr>
        <w:t>very</w:t>
      </w:r>
    </w:p>
    <w:p>
      <w:pPr>
        <w:pStyle w:val="BodyText"/>
        <w:spacing w:before="1"/>
        <w:ind w:left="0"/>
        <w:jc w:val="left"/>
        <w:rPr>
          <w:sz w:val="22"/>
        </w:rPr>
      </w:pPr>
    </w:p>
    <w:p>
      <w:pPr>
        <w:pStyle w:val="ListParagraph"/>
        <w:numPr>
          <w:ilvl w:val="1"/>
          <w:numId w:val="1"/>
        </w:numPr>
        <w:tabs>
          <w:tab w:pos="440" w:val="left" w:leader="none"/>
        </w:tabs>
        <w:spacing w:line="216" w:lineRule="auto" w:before="0" w:after="0"/>
        <w:ind w:left="100" w:right="121" w:firstLine="182"/>
        <w:jc w:val="both"/>
        <w:rPr>
          <w:sz w:val="15"/>
        </w:rPr>
      </w:pPr>
      <w:r>
        <w:rPr>
          <w:color w:val="231F20"/>
          <w:sz w:val="15"/>
        </w:rPr>
        <w:t>Stedman, S. J. and Tanner, F. (eds), </w:t>
      </w:r>
      <w:r>
        <w:rPr>
          <w:i/>
          <w:color w:val="231F20"/>
          <w:sz w:val="15"/>
        </w:rPr>
        <w:t>Refugee Manipulation: War, Politics, and the Abuse of  </w:t>
      </w:r>
      <w:r>
        <w:rPr>
          <w:i/>
          <w:color w:val="231F20"/>
          <w:sz w:val="15"/>
        </w:rPr>
        <w:t>Human</w:t>
      </w:r>
      <w:r>
        <w:rPr>
          <w:i/>
          <w:color w:val="231F20"/>
          <w:spacing w:val="-5"/>
          <w:sz w:val="15"/>
        </w:rPr>
        <w:t> </w:t>
      </w:r>
      <w:r>
        <w:rPr>
          <w:i/>
          <w:color w:val="231F20"/>
          <w:sz w:val="15"/>
        </w:rPr>
        <w:t>Suffering</w:t>
      </w:r>
      <w:r>
        <w:rPr>
          <w:i/>
          <w:color w:val="231F20"/>
          <w:spacing w:val="-5"/>
          <w:sz w:val="15"/>
        </w:rPr>
        <w:t> </w:t>
      </w:r>
      <w:r>
        <w:rPr>
          <w:color w:val="231F20"/>
          <w:sz w:val="15"/>
        </w:rPr>
        <w:t>(Brookings</w:t>
      </w:r>
      <w:r>
        <w:rPr>
          <w:color w:val="231F20"/>
          <w:spacing w:val="-4"/>
          <w:sz w:val="15"/>
        </w:rPr>
        <w:t> </w:t>
      </w:r>
      <w:r>
        <w:rPr>
          <w:color w:val="231F20"/>
          <w:sz w:val="15"/>
        </w:rPr>
        <w:t>Institution</w:t>
      </w:r>
      <w:r>
        <w:rPr>
          <w:color w:val="231F20"/>
          <w:spacing w:val="-5"/>
          <w:sz w:val="15"/>
        </w:rPr>
        <w:t> </w:t>
      </w:r>
      <w:r>
        <w:rPr>
          <w:color w:val="231F20"/>
          <w:sz w:val="15"/>
        </w:rPr>
        <w:t>Press:</w:t>
      </w:r>
      <w:r>
        <w:rPr>
          <w:color w:val="231F20"/>
          <w:spacing w:val="-4"/>
          <w:sz w:val="15"/>
        </w:rPr>
        <w:t> </w:t>
      </w:r>
      <w:r>
        <w:rPr>
          <w:color w:val="231F20"/>
          <w:sz w:val="15"/>
        </w:rPr>
        <w:t>Washington,</w:t>
      </w:r>
      <w:r>
        <w:rPr>
          <w:color w:val="231F20"/>
          <w:spacing w:val="-5"/>
          <w:sz w:val="15"/>
        </w:rPr>
        <w:t> </w:t>
      </w:r>
      <w:r>
        <w:rPr>
          <w:color w:val="231F20"/>
          <w:sz w:val="15"/>
        </w:rPr>
        <w:t>DC,</w:t>
      </w:r>
      <w:r>
        <w:rPr>
          <w:color w:val="231F20"/>
          <w:spacing w:val="-5"/>
          <w:sz w:val="15"/>
        </w:rPr>
        <w:t> </w:t>
      </w:r>
      <w:r>
        <w:rPr>
          <w:color w:val="231F20"/>
          <w:sz w:val="15"/>
        </w:rPr>
        <w:t>2003).</w:t>
      </w:r>
    </w:p>
    <w:p>
      <w:pPr>
        <w:pStyle w:val="ListParagraph"/>
        <w:numPr>
          <w:ilvl w:val="1"/>
          <w:numId w:val="1"/>
        </w:numPr>
        <w:tabs>
          <w:tab w:pos="441" w:val="left" w:leader="none"/>
        </w:tabs>
        <w:spacing w:line="216" w:lineRule="auto" w:before="0" w:after="0"/>
        <w:ind w:left="100" w:right="121" w:firstLine="182"/>
        <w:jc w:val="both"/>
        <w:rPr>
          <w:sz w:val="15"/>
        </w:rPr>
      </w:pPr>
      <w:r>
        <w:rPr>
          <w:color w:val="231F20"/>
          <w:sz w:val="15"/>
        </w:rPr>
        <w:t>Khan, C., </w:t>
      </w:r>
      <w:r>
        <w:rPr>
          <w:i/>
          <w:color w:val="231F20"/>
          <w:sz w:val="15"/>
        </w:rPr>
        <w:t>Conﬂict, Arms, and Militarization: The Dynamics of Darfur’s IDP Camps</w:t>
      </w:r>
      <w:r>
        <w:rPr>
          <w:color w:val="231F20"/>
          <w:sz w:val="15"/>
        </w:rPr>
        <w:t>, HSBA Work- ing</w:t>
      </w:r>
      <w:r>
        <w:rPr>
          <w:color w:val="231F20"/>
          <w:spacing w:val="-6"/>
          <w:sz w:val="15"/>
        </w:rPr>
        <w:t> </w:t>
      </w:r>
      <w:r>
        <w:rPr>
          <w:color w:val="231F20"/>
          <w:sz w:val="15"/>
        </w:rPr>
        <w:t>Paper</w:t>
      </w:r>
      <w:r>
        <w:rPr>
          <w:color w:val="231F20"/>
          <w:spacing w:val="-6"/>
          <w:sz w:val="15"/>
        </w:rPr>
        <w:t> </w:t>
      </w:r>
      <w:r>
        <w:rPr>
          <w:color w:val="231F20"/>
          <w:sz w:val="15"/>
        </w:rPr>
        <w:t>no.</w:t>
      </w:r>
      <w:r>
        <w:rPr>
          <w:color w:val="231F20"/>
          <w:spacing w:val="-6"/>
          <w:sz w:val="15"/>
        </w:rPr>
        <w:t> </w:t>
      </w:r>
      <w:r>
        <w:rPr>
          <w:color w:val="231F20"/>
          <w:sz w:val="15"/>
        </w:rPr>
        <w:t>15</w:t>
      </w:r>
      <w:r>
        <w:rPr>
          <w:color w:val="231F20"/>
          <w:spacing w:val="-6"/>
          <w:sz w:val="15"/>
        </w:rPr>
        <w:t> </w:t>
      </w:r>
      <w:r>
        <w:rPr>
          <w:color w:val="231F20"/>
          <w:sz w:val="15"/>
        </w:rPr>
        <w:t>(Small</w:t>
      </w:r>
      <w:r>
        <w:rPr>
          <w:color w:val="231F20"/>
          <w:spacing w:val="-5"/>
          <w:sz w:val="15"/>
        </w:rPr>
        <w:t> </w:t>
      </w:r>
      <w:r>
        <w:rPr>
          <w:color w:val="231F20"/>
          <w:sz w:val="15"/>
        </w:rPr>
        <w:t>Arms</w:t>
      </w:r>
      <w:r>
        <w:rPr>
          <w:color w:val="231F20"/>
          <w:spacing w:val="-6"/>
          <w:sz w:val="15"/>
        </w:rPr>
        <w:t> </w:t>
      </w:r>
      <w:r>
        <w:rPr>
          <w:color w:val="231F20"/>
          <w:sz w:val="15"/>
        </w:rPr>
        <w:t>Survey:</w:t>
      </w:r>
      <w:r>
        <w:rPr>
          <w:color w:val="231F20"/>
          <w:spacing w:val="-6"/>
          <w:sz w:val="15"/>
        </w:rPr>
        <w:t> </w:t>
      </w:r>
      <w:r>
        <w:rPr>
          <w:color w:val="231F20"/>
          <w:sz w:val="15"/>
        </w:rPr>
        <w:t>Geneva,</w:t>
      </w:r>
      <w:r>
        <w:rPr>
          <w:color w:val="231F20"/>
          <w:spacing w:val="-6"/>
          <w:sz w:val="15"/>
        </w:rPr>
        <w:t> </w:t>
      </w:r>
      <w:r>
        <w:rPr>
          <w:color w:val="231F20"/>
          <w:sz w:val="15"/>
        </w:rPr>
        <w:t>2008),</w:t>
      </w:r>
      <w:r>
        <w:rPr>
          <w:color w:val="231F20"/>
          <w:spacing w:val="-5"/>
          <w:sz w:val="15"/>
        </w:rPr>
        <w:t> </w:t>
      </w:r>
      <w:r>
        <w:rPr>
          <w:color w:val="231F20"/>
          <w:sz w:val="15"/>
        </w:rPr>
        <w:t>pp.</w:t>
      </w:r>
      <w:r>
        <w:rPr>
          <w:color w:val="231F20"/>
          <w:spacing w:val="-6"/>
          <w:sz w:val="15"/>
        </w:rPr>
        <w:t> </w:t>
      </w:r>
      <w:r>
        <w:rPr>
          <w:color w:val="231F20"/>
          <w:sz w:val="15"/>
        </w:rPr>
        <w:t>8,</w:t>
      </w:r>
      <w:r>
        <w:rPr>
          <w:color w:val="231F20"/>
          <w:spacing w:val="-6"/>
          <w:sz w:val="15"/>
        </w:rPr>
        <w:t> </w:t>
      </w:r>
      <w:r>
        <w:rPr>
          <w:color w:val="231F20"/>
          <w:sz w:val="15"/>
        </w:rPr>
        <w:t>17.</w:t>
      </w:r>
    </w:p>
    <w:p>
      <w:pPr>
        <w:pStyle w:val="ListParagraph"/>
        <w:numPr>
          <w:ilvl w:val="1"/>
          <w:numId w:val="1"/>
        </w:numPr>
        <w:tabs>
          <w:tab w:pos="440" w:val="left" w:leader="none"/>
        </w:tabs>
        <w:spacing w:line="216" w:lineRule="auto" w:before="0" w:after="0"/>
        <w:ind w:left="100" w:right="121" w:firstLine="182"/>
        <w:jc w:val="both"/>
        <w:rPr>
          <w:sz w:val="15"/>
        </w:rPr>
      </w:pPr>
      <w:r>
        <w:rPr>
          <w:color w:val="231F20"/>
          <w:sz w:val="15"/>
        </w:rPr>
        <w:t>Harper,</w:t>
      </w:r>
      <w:r>
        <w:rPr>
          <w:color w:val="231F20"/>
          <w:spacing w:val="-13"/>
          <w:sz w:val="15"/>
        </w:rPr>
        <w:t> </w:t>
      </w:r>
      <w:r>
        <w:rPr>
          <w:color w:val="231F20"/>
          <w:sz w:val="15"/>
        </w:rPr>
        <w:t>A.,</w:t>
      </w:r>
      <w:r>
        <w:rPr>
          <w:color w:val="231F20"/>
          <w:spacing w:val="-12"/>
          <w:sz w:val="15"/>
        </w:rPr>
        <w:t> </w:t>
      </w:r>
      <w:r>
        <w:rPr>
          <w:color w:val="231F20"/>
          <w:sz w:val="15"/>
        </w:rPr>
        <w:t>‘Iraq:</w:t>
      </w:r>
      <w:r>
        <w:rPr>
          <w:color w:val="231F20"/>
          <w:spacing w:val="-13"/>
          <w:sz w:val="15"/>
        </w:rPr>
        <w:t> </w:t>
      </w:r>
      <w:r>
        <w:rPr>
          <w:color w:val="231F20"/>
          <w:sz w:val="15"/>
        </w:rPr>
        <w:t>growing</w:t>
      </w:r>
      <w:r>
        <w:rPr>
          <w:color w:val="231F20"/>
          <w:spacing w:val="-12"/>
          <w:sz w:val="15"/>
        </w:rPr>
        <w:t> </w:t>
      </w:r>
      <w:r>
        <w:rPr>
          <w:color w:val="231F20"/>
          <w:sz w:val="15"/>
        </w:rPr>
        <w:t>needs</w:t>
      </w:r>
      <w:r>
        <w:rPr>
          <w:color w:val="231F20"/>
          <w:spacing w:val="-13"/>
          <w:sz w:val="15"/>
        </w:rPr>
        <w:t> </w:t>
      </w:r>
      <w:r>
        <w:rPr>
          <w:color w:val="231F20"/>
          <w:sz w:val="15"/>
        </w:rPr>
        <w:t>amid</w:t>
      </w:r>
      <w:r>
        <w:rPr>
          <w:color w:val="231F20"/>
          <w:spacing w:val="-12"/>
          <w:sz w:val="15"/>
        </w:rPr>
        <w:t> </w:t>
      </w:r>
      <w:r>
        <w:rPr>
          <w:color w:val="231F20"/>
          <w:sz w:val="15"/>
        </w:rPr>
        <w:t>continuing</w:t>
      </w:r>
      <w:r>
        <w:rPr>
          <w:color w:val="231F20"/>
          <w:spacing w:val="-13"/>
          <w:sz w:val="15"/>
        </w:rPr>
        <w:t> </w:t>
      </w:r>
      <w:r>
        <w:rPr>
          <w:color w:val="231F20"/>
          <w:sz w:val="15"/>
        </w:rPr>
        <w:t>displacement’,</w:t>
      </w:r>
      <w:r>
        <w:rPr>
          <w:color w:val="231F20"/>
          <w:spacing w:val="-12"/>
          <w:sz w:val="15"/>
        </w:rPr>
        <w:t> </w:t>
      </w:r>
      <w:r>
        <w:rPr>
          <w:i/>
          <w:color w:val="231F20"/>
          <w:sz w:val="15"/>
        </w:rPr>
        <w:t>Forced</w:t>
      </w:r>
      <w:r>
        <w:rPr>
          <w:i/>
          <w:color w:val="231F20"/>
          <w:spacing w:val="-12"/>
          <w:sz w:val="15"/>
        </w:rPr>
        <w:t> </w:t>
      </w:r>
      <w:r>
        <w:rPr>
          <w:i/>
          <w:color w:val="231F20"/>
          <w:sz w:val="15"/>
        </w:rPr>
        <w:t>Migration</w:t>
      </w:r>
      <w:r>
        <w:rPr>
          <w:i/>
          <w:color w:val="231F20"/>
          <w:spacing w:val="-12"/>
          <w:sz w:val="15"/>
        </w:rPr>
        <w:t> </w:t>
      </w:r>
      <w:r>
        <w:rPr>
          <w:i/>
          <w:color w:val="231F20"/>
          <w:sz w:val="15"/>
        </w:rPr>
        <w:t>Review</w:t>
      </w:r>
      <w:r>
        <w:rPr>
          <w:color w:val="231F20"/>
          <w:sz w:val="15"/>
        </w:rPr>
        <w:t>,</w:t>
      </w:r>
      <w:r>
        <w:rPr>
          <w:color w:val="231F20"/>
          <w:spacing w:val="-13"/>
          <w:sz w:val="15"/>
        </w:rPr>
        <w:t> </w:t>
      </w:r>
      <w:r>
        <w:rPr>
          <w:color w:val="231F20"/>
          <w:sz w:val="15"/>
        </w:rPr>
        <w:t>Dec. 2007,</w:t>
      </w:r>
      <w:r>
        <w:rPr>
          <w:color w:val="231F20"/>
          <w:spacing w:val="-6"/>
          <w:sz w:val="15"/>
        </w:rPr>
        <w:t> </w:t>
      </w:r>
      <w:r>
        <w:rPr>
          <w:color w:val="231F20"/>
          <w:sz w:val="15"/>
        </w:rPr>
        <w:t>p.</w:t>
      </w:r>
      <w:r>
        <w:rPr>
          <w:color w:val="231F20"/>
          <w:spacing w:val="-6"/>
          <w:sz w:val="15"/>
        </w:rPr>
        <w:t> </w:t>
      </w:r>
      <w:r>
        <w:rPr>
          <w:color w:val="231F20"/>
          <w:sz w:val="15"/>
        </w:rPr>
        <w:t>53;</w:t>
      </w:r>
      <w:r>
        <w:rPr>
          <w:color w:val="231F20"/>
          <w:spacing w:val="-5"/>
          <w:sz w:val="15"/>
        </w:rPr>
        <w:t> </w:t>
      </w:r>
      <w:r>
        <w:rPr>
          <w:color w:val="231F20"/>
          <w:sz w:val="15"/>
        </w:rPr>
        <w:t>and</w:t>
      </w:r>
      <w:r>
        <w:rPr>
          <w:color w:val="231F20"/>
          <w:spacing w:val="-6"/>
          <w:sz w:val="15"/>
        </w:rPr>
        <w:t> </w:t>
      </w:r>
      <w:r>
        <w:rPr>
          <w:color w:val="231F20"/>
          <w:sz w:val="15"/>
        </w:rPr>
        <w:t>Byman,</w:t>
      </w:r>
      <w:r>
        <w:rPr>
          <w:color w:val="231F20"/>
          <w:spacing w:val="-5"/>
          <w:sz w:val="15"/>
        </w:rPr>
        <w:t> </w:t>
      </w:r>
      <w:r>
        <w:rPr>
          <w:color w:val="231F20"/>
          <w:sz w:val="15"/>
        </w:rPr>
        <w:t>D.</w:t>
      </w:r>
      <w:r>
        <w:rPr>
          <w:color w:val="231F20"/>
          <w:spacing w:val="-6"/>
          <w:sz w:val="15"/>
        </w:rPr>
        <w:t> </w:t>
      </w:r>
      <w:r>
        <w:rPr>
          <w:color w:val="231F20"/>
          <w:sz w:val="15"/>
        </w:rPr>
        <w:t>L.,</w:t>
      </w:r>
      <w:r>
        <w:rPr>
          <w:color w:val="231F20"/>
          <w:spacing w:val="-5"/>
          <w:sz w:val="15"/>
        </w:rPr>
        <w:t> </w:t>
      </w:r>
      <w:r>
        <w:rPr>
          <w:color w:val="231F20"/>
          <w:sz w:val="15"/>
        </w:rPr>
        <w:t>‘The</w:t>
      </w:r>
      <w:r>
        <w:rPr>
          <w:color w:val="231F20"/>
          <w:spacing w:val="-6"/>
          <w:sz w:val="15"/>
        </w:rPr>
        <w:t> </w:t>
      </w:r>
      <w:r>
        <w:rPr>
          <w:color w:val="231F20"/>
          <w:sz w:val="15"/>
        </w:rPr>
        <w:t>next</w:t>
      </w:r>
      <w:r>
        <w:rPr>
          <w:color w:val="231F20"/>
          <w:spacing w:val="-5"/>
          <w:sz w:val="15"/>
        </w:rPr>
        <w:t> </w:t>
      </w:r>
      <w:r>
        <w:rPr>
          <w:color w:val="231F20"/>
          <w:sz w:val="15"/>
        </w:rPr>
        <w:t>phase</w:t>
      </w:r>
      <w:r>
        <w:rPr>
          <w:color w:val="231F20"/>
          <w:spacing w:val="-6"/>
          <w:sz w:val="15"/>
        </w:rPr>
        <w:t> </w:t>
      </w:r>
      <w:r>
        <w:rPr>
          <w:color w:val="231F20"/>
          <w:sz w:val="15"/>
        </w:rPr>
        <w:t>of</w:t>
      </w:r>
      <w:r>
        <w:rPr>
          <w:color w:val="231F20"/>
          <w:spacing w:val="-5"/>
          <w:sz w:val="15"/>
        </w:rPr>
        <w:t> </w:t>
      </w:r>
      <w:r>
        <w:rPr>
          <w:color w:val="231F20"/>
          <w:sz w:val="15"/>
        </w:rPr>
        <w:t>the</w:t>
      </w:r>
      <w:r>
        <w:rPr>
          <w:color w:val="231F20"/>
          <w:spacing w:val="-6"/>
          <w:sz w:val="15"/>
        </w:rPr>
        <w:t> </w:t>
      </w:r>
      <w:r>
        <w:rPr>
          <w:color w:val="231F20"/>
          <w:sz w:val="15"/>
        </w:rPr>
        <w:t>Iraq</w:t>
      </w:r>
      <w:r>
        <w:rPr>
          <w:color w:val="231F20"/>
          <w:spacing w:val="-5"/>
          <w:sz w:val="15"/>
        </w:rPr>
        <w:t> </w:t>
      </w:r>
      <w:r>
        <w:rPr>
          <w:color w:val="231F20"/>
          <w:sz w:val="15"/>
        </w:rPr>
        <w:t>War’,</w:t>
      </w:r>
      <w:r>
        <w:rPr>
          <w:color w:val="231F20"/>
          <w:spacing w:val="-5"/>
          <w:sz w:val="15"/>
        </w:rPr>
        <w:t> </w:t>
      </w:r>
      <w:r>
        <w:rPr>
          <w:i/>
          <w:color w:val="231F20"/>
          <w:sz w:val="15"/>
        </w:rPr>
        <w:t>Slate</w:t>
      </w:r>
      <w:r>
        <w:rPr>
          <w:color w:val="231F20"/>
          <w:sz w:val="15"/>
        </w:rPr>
        <w:t>,</w:t>
      </w:r>
      <w:r>
        <w:rPr>
          <w:color w:val="231F20"/>
          <w:spacing w:val="-5"/>
          <w:sz w:val="15"/>
        </w:rPr>
        <w:t> </w:t>
      </w:r>
      <w:r>
        <w:rPr>
          <w:color w:val="231F20"/>
          <w:sz w:val="15"/>
        </w:rPr>
        <w:t>29</w:t>
      </w:r>
      <w:r>
        <w:rPr>
          <w:color w:val="231F20"/>
          <w:spacing w:val="-6"/>
          <w:sz w:val="15"/>
        </w:rPr>
        <w:t> </w:t>
      </w:r>
      <w:r>
        <w:rPr>
          <w:color w:val="231F20"/>
          <w:sz w:val="15"/>
        </w:rPr>
        <w:t>Nov.</w:t>
      </w:r>
      <w:r>
        <w:rPr>
          <w:color w:val="231F20"/>
          <w:spacing w:val="-5"/>
          <w:sz w:val="15"/>
        </w:rPr>
        <w:t> </w:t>
      </w:r>
      <w:r>
        <w:rPr>
          <w:color w:val="231F20"/>
          <w:sz w:val="15"/>
        </w:rPr>
        <w:t>2007.</w:t>
      </w:r>
    </w:p>
    <w:p>
      <w:pPr>
        <w:pStyle w:val="ListParagraph"/>
        <w:numPr>
          <w:ilvl w:val="1"/>
          <w:numId w:val="1"/>
        </w:numPr>
        <w:tabs>
          <w:tab w:pos="440" w:val="left" w:leader="none"/>
        </w:tabs>
        <w:spacing w:line="213" w:lineRule="auto" w:before="0" w:after="0"/>
        <w:ind w:left="100" w:right="120" w:firstLine="182"/>
        <w:jc w:val="both"/>
        <w:rPr>
          <w:sz w:val="15"/>
        </w:rPr>
      </w:pPr>
      <w:r>
        <w:rPr>
          <w:color w:val="231F20"/>
          <w:sz w:val="15"/>
        </w:rPr>
        <w:t>Ferris,</w:t>
      </w:r>
      <w:r>
        <w:rPr>
          <w:color w:val="231F20"/>
          <w:spacing w:val="-11"/>
          <w:sz w:val="15"/>
        </w:rPr>
        <w:t> </w:t>
      </w:r>
      <w:r>
        <w:rPr>
          <w:color w:val="231F20"/>
          <w:sz w:val="15"/>
        </w:rPr>
        <w:t>E.,</w:t>
      </w:r>
      <w:r>
        <w:rPr>
          <w:color w:val="231F20"/>
          <w:spacing w:val="-11"/>
          <w:sz w:val="15"/>
        </w:rPr>
        <w:t> </w:t>
      </w:r>
      <w:r>
        <w:rPr>
          <w:color w:val="231F20"/>
          <w:sz w:val="15"/>
        </w:rPr>
        <w:t>‘Durable</w:t>
      </w:r>
      <w:r>
        <w:rPr>
          <w:color w:val="231F20"/>
          <w:spacing w:val="-11"/>
          <w:sz w:val="15"/>
        </w:rPr>
        <w:t> </w:t>
      </w:r>
      <w:r>
        <w:rPr>
          <w:color w:val="231F20"/>
          <w:sz w:val="15"/>
        </w:rPr>
        <w:t>solutions</w:t>
      </w:r>
      <w:r>
        <w:rPr>
          <w:color w:val="231F20"/>
          <w:spacing w:val="-11"/>
          <w:sz w:val="15"/>
        </w:rPr>
        <w:t> </w:t>
      </w:r>
      <w:r>
        <w:rPr>
          <w:color w:val="231F20"/>
          <w:sz w:val="15"/>
        </w:rPr>
        <w:t>for</w:t>
      </w:r>
      <w:r>
        <w:rPr>
          <w:color w:val="231F20"/>
          <w:spacing w:val="-11"/>
          <w:sz w:val="15"/>
        </w:rPr>
        <w:t> </w:t>
      </w:r>
      <w:r>
        <w:rPr>
          <w:color w:val="231F20"/>
          <w:sz w:val="15"/>
        </w:rPr>
        <w:t>IDPs</w:t>
      </w:r>
      <w:r>
        <w:rPr>
          <w:color w:val="231F20"/>
          <w:spacing w:val="-11"/>
          <w:sz w:val="15"/>
        </w:rPr>
        <w:t> </w:t>
      </w:r>
      <w:r>
        <w:rPr>
          <w:color w:val="231F20"/>
          <w:sz w:val="15"/>
        </w:rPr>
        <w:t>in</w:t>
      </w:r>
      <w:r>
        <w:rPr>
          <w:color w:val="231F20"/>
          <w:spacing w:val="-11"/>
          <w:sz w:val="15"/>
        </w:rPr>
        <w:t> </w:t>
      </w:r>
      <w:r>
        <w:rPr>
          <w:color w:val="231F20"/>
          <w:sz w:val="15"/>
        </w:rPr>
        <w:t>protracted</w:t>
      </w:r>
      <w:r>
        <w:rPr>
          <w:color w:val="231F20"/>
          <w:spacing w:val="-11"/>
          <w:sz w:val="15"/>
        </w:rPr>
        <w:t> </w:t>
      </w:r>
      <w:r>
        <w:rPr>
          <w:color w:val="231F20"/>
          <w:sz w:val="15"/>
        </w:rPr>
        <w:t>situations:</w:t>
      </w:r>
      <w:r>
        <w:rPr>
          <w:color w:val="231F20"/>
          <w:spacing w:val="-10"/>
          <w:sz w:val="15"/>
        </w:rPr>
        <w:t> </w:t>
      </w:r>
      <w:r>
        <w:rPr>
          <w:color w:val="231F20"/>
          <w:sz w:val="15"/>
        </w:rPr>
        <w:t>a</w:t>
      </w:r>
      <w:r>
        <w:rPr>
          <w:color w:val="231F20"/>
          <w:spacing w:val="-11"/>
          <w:sz w:val="15"/>
        </w:rPr>
        <w:t> </w:t>
      </w:r>
      <w:r>
        <w:rPr>
          <w:color w:val="231F20"/>
          <w:sz w:val="15"/>
        </w:rPr>
        <w:t>work</w:t>
      </w:r>
      <w:r>
        <w:rPr>
          <w:color w:val="231F20"/>
          <w:spacing w:val="-11"/>
          <w:sz w:val="15"/>
        </w:rPr>
        <w:t> </w:t>
      </w:r>
      <w:r>
        <w:rPr>
          <w:color w:val="231F20"/>
          <w:sz w:val="15"/>
        </w:rPr>
        <w:t>in</w:t>
      </w:r>
      <w:r>
        <w:rPr>
          <w:color w:val="231F20"/>
          <w:spacing w:val="-11"/>
          <w:sz w:val="15"/>
        </w:rPr>
        <w:t> </w:t>
      </w:r>
      <w:r>
        <w:rPr>
          <w:color w:val="231F20"/>
          <w:sz w:val="15"/>
        </w:rPr>
        <w:t>progress’,</w:t>
      </w:r>
      <w:r>
        <w:rPr>
          <w:color w:val="231F20"/>
          <w:spacing w:val="-11"/>
          <w:sz w:val="15"/>
        </w:rPr>
        <w:t> </w:t>
      </w:r>
      <w:r>
        <w:rPr>
          <w:color w:val="231F20"/>
          <w:sz w:val="15"/>
        </w:rPr>
        <w:t>1</w:t>
      </w:r>
      <w:r>
        <w:rPr>
          <w:color w:val="231F20"/>
          <w:spacing w:val="-11"/>
          <w:sz w:val="15"/>
        </w:rPr>
        <w:t> </w:t>
      </w:r>
      <w:r>
        <w:rPr>
          <w:color w:val="231F20"/>
          <w:sz w:val="15"/>
        </w:rPr>
        <w:t>June</w:t>
      </w:r>
      <w:r>
        <w:rPr>
          <w:color w:val="231F20"/>
          <w:spacing w:val="-11"/>
          <w:sz w:val="15"/>
        </w:rPr>
        <w:t> </w:t>
      </w:r>
      <w:r>
        <w:rPr>
          <w:color w:val="231F20"/>
          <w:sz w:val="15"/>
        </w:rPr>
        <w:t>2007, Background paper prepared for the Expert Seminar on Protracted IDP Situations, UNHCR and Brookings–Bern Project on Internal Displacement, Geneva, 21–22 June 2007, </w:t>
      </w:r>
      <w:hyperlink r:id="rId9">
        <w:r>
          <w:rPr>
            <w:color w:val="231F20"/>
            <w:sz w:val="15"/>
          </w:rPr>
          <w:t>&lt;http://www3.</w:t>
        </w:r>
      </w:hyperlink>
      <w:r>
        <w:rPr>
          <w:color w:val="231F20"/>
          <w:sz w:val="15"/>
        </w:rPr>
        <w:t> brookings.edu/fp/projects/idp/conferences/20070622.pdf&gt;, p.</w:t>
      </w:r>
      <w:r>
        <w:rPr>
          <w:color w:val="231F20"/>
          <w:spacing w:val="-8"/>
          <w:sz w:val="15"/>
        </w:rPr>
        <w:t> </w:t>
      </w:r>
      <w:r>
        <w:rPr>
          <w:color w:val="231F20"/>
          <w:sz w:val="15"/>
        </w:rPr>
        <w:t>25.</w:t>
      </w:r>
    </w:p>
    <w:p>
      <w:pPr>
        <w:pStyle w:val="ListParagraph"/>
        <w:numPr>
          <w:ilvl w:val="1"/>
          <w:numId w:val="1"/>
        </w:numPr>
        <w:tabs>
          <w:tab w:pos="440" w:val="left" w:leader="none"/>
        </w:tabs>
        <w:spacing w:line="213" w:lineRule="auto" w:before="0" w:after="0"/>
        <w:ind w:left="100" w:right="120" w:firstLine="182"/>
        <w:jc w:val="both"/>
        <w:rPr>
          <w:sz w:val="15"/>
        </w:rPr>
      </w:pPr>
      <w:r>
        <w:rPr>
          <w:color w:val="231F20"/>
          <w:sz w:val="15"/>
        </w:rPr>
        <w:t>UN Economic and Social Council, ‘Speciﬁc groups and individuals: mass exoduses and dis- placed persons’, Report of the Representative of the Secretary-General on the Human Rights of Internally Displaced Persons, Walter Kälin, Mission to Bosnia and Herzegovina, E/CN.4/2006/71/ Add.4,</w:t>
      </w:r>
      <w:r>
        <w:rPr>
          <w:color w:val="231F20"/>
          <w:spacing w:val="-5"/>
          <w:sz w:val="15"/>
        </w:rPr>
        <w:t> </w:t>
      </w:r>
      <w:r>
        <w:rPr>
          <w:color w:val="231F20"/>
          <w:sz w:val="15"/>
        </w:rPr>
        <w:t>29</w:t>
      </w:r>
      <w:r>
        <w:rPr>
          <w:color w:val="231F20"/>
          <w:spacing w:val="-5"/>
          <w:sz w:val="15"/>
        </w:rPr>
        <w:t> </w:t>
      </w:r>
      <w:r>
        <w:rPr>
          <w:color w:val="231F20"/>
          <w:sz w:val="15"/>
        </w:rPr>
        <w:t>Dec.</w:t>
      </w:r>
      <w:r>
        <w:rPr>
          <w:color w:val="231F20"/>
          <w:spacing w:val="-5"/>
          <w:sz w:val="15"/>
        </w:rPr>
        <w:t> </w:t>
      </w:r>
      <w:r>
        <w:rPr>
          <w:color w:val="231F20"/>
          <w:sz w:val="15"/>
        </w:rPr>
        <w:t>2005,</w:t>
      </w:r>
      <w:r>
        <w:rPr>
          <w:color w:val="231F20"/>
          <w:spacing w:val="-4"/>
          <w:sz w:val="15"/>
        </w:rPr>
        <w:t> </w:t>
      </w:r>
      <w:r>
        <w:rPr>
          <w:color w:val="231F20"/>
          <w:sz w:val="15"/>
        </w:rPr>
        <w:t>p.</w:t>
      </w:r>
      <w:r>
        <w:rPr>
          <w:color w:val="231F20"/>
          <w:spacing w:val="-5"/>
          <w:sz w:val="15"/>
        </w:rPr>
        <w:t> </w:t>
      </w:r>
      <w:r>
        <w:rPr>
          <w:color w:val="231F20"/>
          <w:sz w:val="15"/>
        </w:rPr>
        <w:t>12;</w:t>
      </w:r>
      <w:r>
        <w:rPr>
          <w:color w:val="231F20"/>
          <w:spacing w:val="-5"/>
          <w:sz w:val="15"/>
        </w:rPr>
        <w:t> </w:t>
      </w:r>
      <w:r>
        <w:rPr>
          <w:color w:val="231F20"/>
          <w:sz w:val="15"/>
        </w:rPr>
        <w:t>and</w:t>
      </w:r>
      <w:r>
        <w:rPr>
          <w:color w:val="231F20"/>
          <w:spacing w:val="-4"/>
          <w:sz w:val="15"/>
        </w:rPr>
        <w:t> </w:t>
      </w:r>
      <w:r>
        <w:rPr>
          <w:color w:val="231F20"/>
          <w:sz w:val="15"/>
        </w:rPr>
        <w:t>UN</w:t>
      </w:r>
      <w:r>
        <w:rPr>
          <w:color w:val="231F20"/>
          <w:spacing w:val="-5"/>
          <w:sz w:val="15"/>
        </w:rPr>
        <w:t> </w:t>
      </w:r>
      <w:r>
        <w:rPr>
          <w:color w:val="231F20"/>
          <w:sz w:val="15"/>
        </w:rPr>
        <w:t>Economic</w:t>
      </w:r>
      <w:r>
        <w:rPr>
          <w:color w:val="231F20"/>
          <w:spacing w:val="-5"/>
          <w:sz w:val="15"/>
        </w:rPr>
        <w:t> </w:t>
      </w:r>
      <w:r>
        <w:rPr>
          <w:color w:val="231F20"/>
          <w:sz w:val="15"/>
        </w:rPr>
        <w:t>and</w:t>
      </w:r>
      <w:r>
        <w:rPr>
          <w:color w:val="231F20"/>
          <w:spacing w:val="-4"/>
          <w:sz w:val="15"/>
        </w:rPr>
        <w:t> </w:t>
      </w:r>
      <w:r>
        <w:rPr>
          <w:color w:val="231F20"/>
          <w:sz w:val="15"/>
        </w:rPr>
        <w:t>Social</w:t>
      </w:r>
      <w:r>
        <w:rPr>
          <w:color w:val="231F20"/>
          <w:spacing w:val="-5"/>
          <w:sz w:val="15"/>
        </w:rPr>
        <w:t> </w:t>
      </w:r>
      <w:r>
        <w:rPr>
          <w:color w:val="231F20"/>
          <w:sz w:val="15"/>
        </w:rPr>
        <w:t>Council,</w:t>
      </w:r>
      <w:r>
        <w:rPr>
          <w:color w:val="231F20"/>
          <w:spacing w:val="-5"/>
          <w:sz w:val="15"/>
        </w:rPr>
        <w:t> </w:t>
      </w:r>
      <w:r>
        <w:rPr>
          <w:color w:val="231F20"/>
          <w:sz w:val="15"/>
        </w:rPr>
        <w:t>‘Speciﬁc</w:t>
      </w:r>
      <w:r>
        <w:rPr>
          <w:color w:val="231F20"/>
          <w:spacing w:val="-5"/>
          <w:sz w:val="15"/>
        </w:rPr>
        <w:t> </w:t>
      </w:r>
      <w:r>
        <w:rPr>
          <w:color w:val="231F20"/>
          <w:sz w:val="15"/>
        </w:rPr>
        <w:t>groups</w:t>
      </w:r>
      <w:r>
        <w:rPr>
          <w:color w:val="231F20"/>
          <w:spacing w:val="-4"/>
          <w:sz w:val="15"/>
        </w:rPr>
        <w:t> </w:t>
      </w:r>
      <w:r>
        <w:rPr>
          <w:color w:val="231F20"/>
          <w:sz w:val="15"/>
        </w:rPr>
        <w:t>and</w:t>
      </w:r>
      <w:r>
        <w:rPr>
          <w:color w:val="231F20"/>
          <w:spacing w:val="-5"/>
          <w:sz w:val="15"/>
        </w:rPr>
        <w:t> </w:t>
      </w:r>
      <w:r>
        <w:rPr>
          <w:color w:val="231F20"/>
          <w:sz w:val="15"/>
        </w:rPr>
        <w:t>individuals: mass</w:t>
      </w:r>
      <w:r>
        <w:rPr>
          <w:color w:val="231F20"/>
          <w:spacing w:val="-13"/>
          <w:sz w:val="15"/>
        </w:rPr>
        <w:t> </w:t>
      </w:r>
      <w:r>
        <w:rPr>
          <w:color w:val="231F20"/>
          <w:sz w:val="15"/>
        </w:rPr>
        <w:t>exoduses</w:t>
      </w:r>
      <w:r>
        <w:rPr>
          <w:color w:val="231F20"/>
          <w:spacing w:val="-12"/>
          <w:sz w:val="15"/>
        </w:rPr>
        <w:t> </w:t>
      </w:r>
      <w:r>
        <w:rPr>
          <w:color w:val="231F20"/>
          <w:sz w:val="15"/>
        </w:rPr>
        <w:t>and</w:t>
      </w:r>
      <w:r>
        <w:rPr>
          <w:color w:val="231F20"/>
          <w:spacing w:val="-12"/>
          <w:sz w:val="15"/>
        </w:rPr>
        <w:t> </w:t>
      </w:r>
      <w:r>
        <w:rPr>
          <w:color w:val="231F20"/>
          <w:sz w:val="15"/>
        </w:rPr>
        <w:t>displaced</w:t>
      </w:r>
      <w:r>
        <w:rPr>
          <w:color w:val="231F20"/>
          <w:spacing w:val="-12"/>
          <w:sz w:val="15"/>
        </w:rPr>
        <w:t> </w:t>
      </w:r>
      <w:r>
        <w:rPr>
          <w:color w:val="231F20"/>
          <w:sz w:val="15"/>
        </w:rPr>
        <w:t>persons’,</w:t>
      </w:r>
      <w:r>
        <w:rPr>
          <w:color w:val="231F20"/>
          <w:spacing w:val="-12"/>
          <w:sz w:val="15"/>
        </w:rPr>
        <w:t> </w:t>
      </w:r>
      <w:r>
        <w:rPr>
          <w:color w:val="231F20"/>
          <w:sz w:val="15"/>
        </w:rPr>
        <w:t>Report</w:t>
      </w:r>
      <w:r>
        <w:rPr>
          <w:color w:val="231F20"/>
          <w:spacing w:val="-12"/>
          <w:sz w:val="15"/>
        </w:rPr>
        <w:t> </w:t>
      </w:r>
      <w:r>
        <w:rPr>
          <w:color w:val="231F20"/>
          <w:sz w:val="15"/>
        </w:rPr>
        <w:t>of</w:t>
      </w:r>
      <w:r>
        <w:rPr>
          <w:color w:val="231F20"/>
          <w:spacing w:val="-12"/>
          <w:sz w:val="15"/>
        </w:rPr>
        <w:t> </w:t>
      </w:r>
      <w:r>
        <w:rPr>
          <w:color w:val="231F20"/>
          <w:sz w:val="15"/>
        </w:rPr>
        <w:t>the</w:t>
      </w:r>
      <w:r>
        <w:rPr>
          <w:color w:val="231F20"/>
          <w:spacing w:val="-12"/>
          <w:sz w:val="15"/>
        </w:rPr>
        <w:t> </w:t>
      </w:r>
      <w:r>
        <w:rPr>
          <w:color w:val="231F20"/>
          <w:sz w:val="15"/>
        </w:rPr>
        <w:t>Representative</w:t>
      </w:r>
      <w:r>
        <w:rPr>
          <w:color w:val="231F20"/>
          <w:spacing w:val="-12"/>
          <w:sz w:val="15"/>
        </w:rPr>
        <w:t> </w:t>
      </w:r>
      <w:r>
        <w:rPr>
          <w:color w:val="231F20"/>
          <w:sz w:val="15"/>
        </w:rPr>
        <w:t>of</w:t>
      </w:r>
      <w:r>
        <w:rPr>
          <w:color w:val="231F20"/>
          <w:spacing w:val="-12"/>
          <w:sz w:val="15"/>
        </w:rPr>
        <w:t> </w:t>
      </w:r>
      <w:r>
        <w:rPr>
          <w:color w:val="231F20"/>
          <w:sz w:val="15"/>
        </w:rPr>
        <w:t>the</w:t>
      </w:r>
      <w:r>
        <w:rPr>
          <w:color w:val="231F20"/>
          <w:spacing w:val="-12"/>
          <w:sz w:val="15"/>
        </w:rPr>
        <w:t> </w:t>
      </w:r>
      <w:r>
        <w:rPr>
          <w:color w:val="231F20"/>
          <w:sz w:val="15"/>
        </w:rPr>
        <w:t>Secretary-General</w:t>
      </w:r>
      <w:r>
        <w:rPr>
          <w:color w:val="231F20"/>
          <w:spacing w:val="-12"/>
          <w:sz w:val="15"/>
        </w:rPr>
        <w:t> </w:t>
      </w:r>
      <w:r>
        <w:rPr>
          <w:color w:val="231F20"/>
          <w:sz w:val="15"/>
        </w:rPr>
        <w:t>on</w:t>
      </w:r>
      <w:r>
        <w:rPr>
          <w:color w:val="231F20"/>
          <w:spacing w:val="-12"/>
          <w:sz w:val="15"/>
        </w:rPr>
        <w:t> </w:t>
      </w:r>
      <w:r>
        <w:rPr>
          <w:color w:val="231F20"/>
          <w:sz w:val="15"/>
        </w:rPr>
        <w:t>the Human Rights of Internally Displaced Persons, Walter Kälin, Mission to Serbia and Montenegro, E/CN.4/2006/71/Add.5, 9 Jan. 2006, p.</w:t>
      </w:r>
      <w:r>
        <w:rPr>
          <w:color w:val="231F20"/>
          <w:spacing w:val="-18"/>
          <w:sz w:val="15"/>
        </w:rPr>
        <w:t> </w:t>
      </w:r>
      <w:r>
        <w:rPr>
          <w:color w:val="231F20"/>
          <w:sz w:val="15"/>
        </w:rPr>
        <w:t>2.</w:t>
      </w:r>
    </w:p>
    <w:p>
      <w:pPr>
        <w:pStyle w:val="ListParagraph"/>
        <w:numPr>
          <w:ilvl w:val="1"/>
          <w:numId w:val="1"/>
        </w:numPr>
        <w:tabs>
          <w:tab w:pos="440" w:val="left" w:leader="none"/>
        </w:tabs>
        <w:spacing w:line="213" w:lineRule="auto" w:before="0" w:after="0"/>
        <w:ind w:left="100" w:right="121" w:firstLine="182"/>
        <w:jc w:val="both"/>
        <w:rPr>
          <w:sz w:val="15"/>
        </w:rPr>
      </w:pPr>
      <w:r>
        <w:rPr>
          <w:color w:val="231F20"/>
          <w:sz w:val="15"/>
        </w:rPr>
        <w:t>UN</w:t>
      </w:r>
      <w:r>
        <w:rPr>
          <w:color w:val="231F20"/>
          <w:spacing w:val="-19"/>
          <w:sz w:val="15"/>
        </w:rPr>
        <w:t> </w:t>
      </w:r>
      <w:r>
        <w:rPr>
          <w:color w:val="231F20"/>
          <w:sz w:val="15"/>
        </w:rPr>
        <w:t>General</w:t>
      </w:r>
      <w:r>
        <w:rPr>
          <w:color w:val="231F20"/>
          <w:spacing w:val="-19"/>
          <w:sz w:val="15"/>
        </w:rPr>
        <w:t> </w:t>
      </w:r>
      <w:r>
        <w:rPr>
          <w:color w:val="231F20"/>
          <w:sz w:val="15"/>
        </w:rPr>
        <w:t>Assembly,</w:t>
      </w:r>
      <w:r>
        <w:rPr>
          <w:color w:val="231F20"/>
          <w:spacing w:val="-18"/>
          <w:sz w:val="15"/>
        </w:rPr>
        <w:t> </w:t>
      </w:r>
      <w:r>
        <w:rPr>
          <w:color w:val="231F20"/>
          <w:sz w:val="15"/>
        </w:rPr>
        <w:t>‘Promotion</w:t>
      </w:r>
      <w:r>
        <w:rPr>
          <w:color w:val="231F20"/>
          <w:spacing w:val="-19"/>
          <w:sz w:val="15"/>
        </w:rPr>
        <w:t> </w:t>
      </w:r>
      <w:r>
        <w:rPr>
          <w:color w:val="231F20"/>
          <w:sz w:val="15"/>
        </w:rPr>
        <w:t>and</w:t>
      </w:r>
      <w:r>
        <w:rPr>
          <w:color w:val="231F20"/>
          <w:spacing w:val="-19"/>
          <w:sz w:val="15"/>
        </w:rPr>
        <w:t> </w:t>
      </w:r>
      <w:r>
        <w:rPr>
          <w:color w:val="231F20"/>
          <w:sz w:val="15"/>
        </w:rPr>
        <w:t>protection</w:t>
      </w:r>
      <w:r>
        <w:rPr>
          <w:color w:val="231F20"/>
          <w:spacing w:val="-19"/>
          <w:sz w:val="15"/>
        </w:rPr>
        <w:t> </w:t>
      </w:r>
      <w:r>
        <w:rPr>
          <w:color w:val="231F20"/>
          <w:sz w:val="15"/>
        </w:rPr>
        <w:t>of</w:t>
      </w:r>
      <w:r>
        <w:rPr>
          <w:color w:val="231F20"/>
          <w:spacing w:val="-18"/>
          <w:sz w:val="15"/>
        </w:rPr>
        <w:t> </w:t>
      </w:r>
      <w:r>
        <w:rPr>
          <w:color w:val="231F20"/>
          <w:sz w:val="15"/>
        </w:rPr>
        <w:t>all</w:t>
      </w:r>
      <w:r>
        <w:rPr>
          <w:color w:val="231F20"/>
          <w:spacing w:val="-19"/>
          <w:sz w:val="15"/>
        </w:rPr>
        <w:t> </w:t>
      </w:r>
      <w:r>
        <w:rPr>
          <w:color w:val="231F20"/>
          <w:sz w:val="15"/>
        </w:rPr>
        <w:t>human</w:t>
      </w:r>
      <w:r>
        <w:rPr>
          <w:color w:val="231F20"/>
          <w:spacing w:val="-19"/>
          <w:sz w:val="15"/>
        </w:rPr>
        <w:t> </w:t>
      </w:r>
      <w:r>
        <w:rPr>
          <w:color w:val="231F20"/>
          <w:sz w:val="15"/>
        </w:rPr>
        <w:t>rights,</w:t>
      </w:r>
      <w:r>
        <w:rPr>
          <w:color w:val="231F20"/>
          <w:spacing w:val="-18"/>
          <w:sz w:val="15"/>
        </w:rPr>
        <w:t> </w:t>
      </w:r>
      <w:r>
        <w:rPr>
          <w:color w:val="231F20"/>
          <w:sz w:val="15"/>
        </w:rPr>
        <w:t>civil,</w:t>
      </w:r>
      <w:r>
        <w:rPr>
          <w:color w:val="231F20"/>
          <w:spacing w:val="-19"/>
          <w:sz w:val="15"/>
        </w:rPr>
        <w:t> </w:t>
      </w:r>
      <w:r>
        <w:rPr>
          <w:color w:val="231F20"/>
          <w:sz w:val="15"/>
        </w:rPr>
        <w:t>political,</w:t>
      </w:r>
      <w:r>
        <w:rPr>
          <w:color w:val="231F20"/>
          <w:spacing w:val="-19"/>
          <w:sz w:val="15"/>
        </w:rPr>
        <w:t> </w:t>
      </w:r>
      <w:r>
        <w:rPr>
          <w:color w:val="231F20"/>
          <w:sz w:val="15"/>
        </w:rPr>
        <w:t>economic, social and cultural rights, including the right to development’, Report of the Representative of the Secretary-General on the Human Rights of Internally Displaced Persons, Walter Kälin, Mission to Azerbaijan,</w:t>
      </w:r>
      <w:r>
        <w:rPr>
          <w:color w:val="231F20"/>
          <w:spacing w:val="-5"/>
          <w:sz w:val="15"/>
        </w:rPr>
        <w:t> </w:t>
      </w:r>
      <w:r>
        <w:rPr>
          <w:color w:val="231F20"/>
          <w:sz w:val="15"/>
        </w:rPr>
        <w:t>A/HRC/8/6/Add.2,</w:t>
      </w:r>
      <w:r>
        <w:rPr>
          <w:color w:val="231F20"/>
          <w:spacing w:val="-5"/>
          <w:sz w:val="15"/>
        </w:rPr>
        <w:t> </w:t>
      </w:r>
      <w:r>
        <w:rPr>
          <w:color w:val="231F20"/>
          <w:sz w:val="15"/>
        </w:rPr>
        <w:t>15</w:t>
      </w:r>
      <w:r>
        <w:rPr>
          <w:color w:val="231F20"/>
          <w:spacing w:val="-4"/>
          <w:sz w:val="15"/>
        </w:rPr>
        <w:t> </w:t>
      </w:r>
      <w:r>
        <w:rPr>
          <w:color w:val="231F20"/>
          <w:sz w:val="15"/>
        </w:rPr>
        <w:t>Apr.</w:t>
      </w:r>
      <w:r>
        <w:rPr>
          <w:color w:val="231F20"/>
          <w:spacing w:val="-5"/>
          <w:sz w:val="15"/>
        </w:rPr>
        <w:t> </w:t>
      </w:r>
      <w:r>
        <w:rPr>
          <w:color w:val="231F20"/>
          <w:sz w:val="15"/>
        </w:rPr>
        <w:t>2008,</w:t>
      </w:r>
      <w:r>
        <w:rPr>
          <w:color w:val="231F20"/>
          <w:spacing w:val="-5"/>
          <w:sz w:val="15"/>
        </w:rPr>
        <w:t> </w:t>
      </w:r>
      <w:r>
        <w:rPr>
          <w:color w:val="231F20"/>
          <w:sz w:val="15"/>
        </w:rPr>
        <w:t>p.</w:t>
      </w:r>
      <w:r>
        <w:rPr>
          <w:color w:val="231F20"/>
          <w:spacing w:val="-4"/>
          <w:sz w:val="15"/>
        </w:rPr>
        <w:t> </w:t>
      </w:r>
      <w:r>
        <w:rPr>
          <w:color w:val="231F20"/>
          <w:sz w:val="15"/>
        </w:rPr>
        <w:t>13.</w:t>
      </w:r>
    </w:p>
    <w:p>
      <w:pPr>
        <w:pStyle w:val="ListParagraph"/>
        <w:numPr>
          <w:ilvl w:val="1"/>
          <w:numId w:val="1"/>
        </w:numPr>
        <w:tabs>
          <w:tab w:pos="440" w:val="left" w:leader="none"/>
        </w:tabs>
        <w:spacing w:line="185" w:lineRule="exact" w:before="0" w:after="0"/>
        <w:ind w:left="439" w:right="0" w:hanging="157"/>
        <w:jc w:val="both"/>
        <w:rPr>
          <w:sz w:val="15"/>
        </w:rPr>
      </w:pPr>
      <w:r>
        <w:rPr>
          <w:color w:val="231F20"/>
          <w:sz w:val="15"/>
        </w:rPr>
        <w:t>UNHCR official, Interview, Tbilisi, 8 May</w:t>
      </w:r>
      <w:r>
        <w:rPr>
          <w:color w:val="231F20"/>
          <w:spacing w:val="-27"/>
          <w:sz w:val="15"/>
        </w:rPr>
        <w:t> </w:t>
      </w:r>
      <w:r>
        <w:rPr>
          <w:color w:val="231F20"/>
          <w:sz w:val="15"/>
        </w:rPr>
        <w:t>2000.</w:t>
      </w:r>
    </w:p>
    <w:p>
      <w:pPr>
        <w:spacing w:after="0" w:line="185" w:lineRule="exact"/>
        <w:jc w:val="both"/>
        <w:rPr>
          <w:sz w:val="15"/>
        </w:rPr>
        <w:sectPr>
          <w:pgSz w:w="8850" w:h="13270"/>
          <w:pgMar w:header="752" w:footer="0" w:top="1080" w:bottom="280" w:left="1080" w:right="1060"/>
        </w:sectPr>
      </w:pPr>
    </w:p>
    <w:p>
      <w:pPr>
        <w:pStyle w:val="BodyText"/>
        <w:spacing w:line="278" w:lineRule="auto" w:before="141"/>
        <w:ind w:right="117"/>
      </w:pPr>
      <w:r>
        <w:rPr>
          <w:color w:val="231F20"/>
        </w:rPr>
        <w:t>slowly come around to supporting steps to help them integrate while maintaining their overall right to return, a new approach advocated by Kälin’s predecessor, Francis</w:t>
      </w:r>
      <w:r>
        <w:rPr>
          <w:color w:val="231F20"/>
          <w:spacing w:val="-1"/>
        </w:rPr>
        <w:t> </w:t>
      </w:r>
      <w:r>
        <w:rPr>
          <w:color w:val="231F20"/>
        </w:rPr>
        <w:t>Deng.</w:t>
      </w:r>
    </w:p>
    <w:p>
      <w:pPr>
        <w:pStyle w:val="BodyText"/>
        <w:spacing w:line="278" w:lineRule="auto"/>
        <w:ind w:right="117" w:firstLine="180"/>
      </w:pPr>
      <w:r>
        <w:rPr>
          <w:color w:val="231F20"/>
        </w:rPr>
        <w:t>So-called ‘warehousing’—a situation when refugees and IDPs languish in camps or segregated settlements for more than ﬁve years and are depend-  ent on the international community for survival and while their rights to employment, education and movement are restricted or  denied—has  become an ‘all-too-durable solution’ for the displaced.</w:t>
      </w:r>
      <w:r>
        <w:rPr>
          <w:rFonts w:ascii="Adobe Jenson Pro Lt Capt" w:hAnsi="Adobe Jenson Pro Lt Capt"/>
          <w:b w:val="0"/>
          <w:color w:val="231F20"/>
          <w:position w:val="6"/>
          <w:sz w:val="12"/>
        </w:rPr>
        <w:t>18 </w:t>
      </w:r>
      <w:r>
        <w:rPr>
          <w:color w:val="231F20"/>
        </w:rPr>
        <w:t>Although in pro- tracted situations many of the displaced may no longer face immediate threats to their security, their economic and social needs are often unmet  and they are left without employment, land, property restitution or permanent shelter. Unless they are helped to integrate, such  situations  could sow the seeds for further</w:t>
      </w:r>
      <w:r>
        <w:rPr>
          <w:color w:val="231F20"/>
          <w:spacing w:val="3"/>
        </w:rPr>
        <w:t> </w:t>
      </w:r>
      <w:r>
        <w:rPr>
          <w:color w:val="231F20"/>
        </w:rPr>
        <w:t>conﬂict.</w:t>
      </w:r>
    </w:p>
    <w:p>
      <w:pPr>
        <w:pStyle w:val="BodyText"/>
        <w:spacing w:line="278" w:lineRule="auto"/>
        <w:ind w:right="118" w:firstLine="180"/>
        <w:rPr>
          <w:rFonts w:ascii="Adobe Jenson Pro Lt Capt" w:hAnsi="Adobe Jenson Pro Lt Capt"/>
          <w:b w:val="0"/>
          <w:sz w:val="12"/>
        </w:rPr>
      </w:pPr>
      <w:r>
        <w:rPr>
          <w:color w:val="231F20"/>
        </w:rPr>
        <w:t>Because ceaseﬁres and peace agreements are often accompanied by the expectation that displacement will end shortly, national and international humanitarian aid often tapers off when conﬂicts subside, even though areas of return may not be stable or cannot sustain returning IDPs or refugees. A broader look at when displacement ends has therefore become necessary, together with a greater focus on sustainable solutions to support the return or resettlement of IDPs and refugees, their rehabilitation and  reconcili-  ation with local communities, and the incorporation of their needs into long-term development and poverty reduction</w:t>
      </w:r>
      <w:r>
        <w:rPr>
          <w:color w:val="231F20"/>
          <w:spacing w:val="4"/>
        </w:rPr>
        <w:t> </w:t>
      </w:r>
      <w:r>
        <w:rPr>
          <w:color w:val="231F20"/>
        </w:rPr>
        <w:t>plans.</w:t>
      </w:r>
      <w:r>
        <w:rPr>
          <w:rFonts w:ascii="Adobe Jenson Pro Lt Capt" w:hAnsi="Adobe Jenson Pro Lt Capt"/>
          <w:b w:val="0"/>
          <w:color w:val="231F20"/>
          <w:position w:val="6"/>
          <w:sz w:val="12"/>
        </w:rPr>
        <w:t>19</w:t>
      </w:r>
    </w:p>
    <w:p>
      <w:pPr>
        <w:pStyle w:val="BodyText"/>
        <w:spacing w:line="273" w:lineRule="auto"/>
        <w:ind w:right="117" w:firstLine="180"/>
      </w:pPr>
      <w:r>
        <w:rPr>
          <w:color w:val="231F20"/>
        </w:rPr>
        <w:t>Although the displacement crisis is global in nature, some regions of the world are more affected than others. The worst hit continent  is  Africa,  which has nearly half of the world’s IDPs (</w:t>
      </w:r>
      <w:r>
        <w:rPr>
          <w:rFonts w:ascii="Palatino Linotype" w:hAnsi="Palatino Linotype"/>
          <w:i/>
          <w:color w:val="231F20"/>
        </w:rPr>
        <w:t>c</w:t>
      </w:r>
      <w:r>
        <w:rPr>
          <w:color w:val="231F20"/>
        </w:rPr>
        <w:t>. 12 million). Most are located     in Sudan, the Democratic Republic of the Congo (DRC) and Somalia.</w:t>
      </w:r>
      <w:r>
        <w:rPr>
          <w:rFonts w:ascii="Adobe Jenson Pro Lt Capt" w:hAnsi="Adobe Jenson Pro Lt Capt"/>
          <w:b w:val="0"/>
          <w:color w:val="231F20"/>
          <w:position w:val="6"/>
          <w:sz w:val="12"/>
        </w:rPr>
        <w:t>20 </w:t>
      </w:r>
      <w:r>
        <w:rPr>
          <w:color w:val="231F20"/>
        </w:rPr>
        <w:t>In addition, Africa has about 3 million refugees.</w:t>
      </w:r>
      <w:r>
        <w:rPr>
          <w:rFonts w:ascii="Adobe Jenson Pro Lt Capt" w:hAnsi="Adobe Jenson Pro Lt Capt"/>
          <w:b w:val="0"/>
          <w:color w:val="231F20"/>
          <w:position w:val="6"/>
          <w:sz w:val="12"/>
        </w:rPr>
        <w:t>21  </w:t>
      </w:r>
      <w:r>
        <w:rPr>
          <w:color w:val="231F20"/>
        </w:rPr>
        <w:t>Despite its immense riches   in natural resources, it is the poorest continent with the most meagre resources to deal with displacement. Yet artiﬁcial borders from the colonial period, combined with intense competition for power and scarce economic resources, make the continent a likely source of continued conﬂict and displacement.</w:t>
      </w:r>
    </w:p>
    <w:p>
      <w:pPr>
        <w:pStyle w:val="BodyText"/>
        <w:ind w:left="0"/>
        <w:jc w:val="left"/>
        <w:rPr>
          <w:sz w:val="26"/>
        </w:rPr>
      </w:pPr>
    </w:p>
    <w:p>
      <w:pPr>
        <w:pStyle w:val="BodyText"/>
        <w:spacing w:before="4"/>
        <w:ind w:left="0"/>
        <w:jc w:val="left"/>
        <w:rPr>
          <w:sz w:val="38"/>
        </w:rPr>
      </w:pPr>
    </w:p>
    <w:p>
      <w:pPr>
        <w:pStyle w:val="ListParagraph"/>
        <w:numPr>
          <w:ilvl w:val="1"/>
          <w:numId w:val="1"/>
        </w:numPr>
        <w:tabs>
          <w:tab w:pos="440" w:val="left" w:leader="none"/>
        </w:tabs>
        <w:spacing w:line="211" w:lineRule="auto" w:before="0" w:after="0"/>
        <w:ind w:left="100" w:right="121" w:firstLine="182"/>
        <w:jc w:val="both"/>
        <w:rPr>
          <w:sz w:val="15"/>
        </w:rPr>
      </w:pPr>
      <w:r>
        <w:rPr>
          <w:color w:val="231F20"/>
          <w:sz w:val="15"/>
        </w:rPr>
        <w:t>Smith, M., ‘Warehousing refugees: a denial of rights, a waste of humanity’, </w:t>
      </w:r>
      <w:r>
        <w:rPr>
          <w:i/>
          <w:color w:val="231F20"/>
          <w:sz w:val="15"/>
        </w:rPr>
        <w:t>World Refugee </w:t>
      </w:r>
      <w:r>
        <w:rPr>
          <w:i/>
          <w:color w:val="231F20"/>
          <w:sz w:val="15"/>
        </w:rPr>
        <w:t>Survey</w:t>
      </w:r>
      <w:r>
        <w:rPr>
          <w:i/>
          <w:color w:val="231F20"/>
          <w:spacing w:val="-7"/>
          <w:sz w:val="15"/>
        </w:rPr>
        <w:t> </w:t>
      </w:r>
      <w:r>
        <w:rPr>
          <w:i/>
          <w:color w:val="231F20"/>
          <w:sz w:val="15"/>
        </w:rPr>
        <w:t>2004</w:t>
      </w:r>
      <w:r>
        <w:rPr>
          <w:i/>
          <w:color w:val="231F20"/>
          <w:spacing w:val="-7"/>
          <w:sz w:val="15"/>
        </w:rPr>
        <w:t> </w:t>
      </w:r>
      <w:r>
        <w:rPr>
          <w:color w:val="231F20"/>
          <w:sz w:val="15"/>
        </w:rPr>
        <w:t>(US</w:t>
      </w:r>
      <w:r>
        <w:rPr>
          <w:color w:val="231F20"/>
          <w:spacing w:val="-6"/>
          <w:sz w:val="15"/>
        </w:rPr>
        <w:t> </w:t>
      </w:r>
      <w:r>
        <w:rPr>
          <w:color w:val="231F20"/>
          <w:sz w:val="15"/>
        </w:rPr>
        <w:t>Committee</w:t>
      </w:r>
      <w:r>
        <w:rPr>
          <w:color w:val="231F20"/>
          <w:spacing w:val="-7"/>
          <w:sz w:val="15"/>
        </w:rPr>
        <w:t> </w:t>
      </w:r>
      <w:r>
        <w:rPr>
          <w:color w:val="231F20"/>
          <w:sz w:val="15"/>
        </w:rPr>
        <w:t>for</w:t>
      </w:r>
      <w:r>
        <w:rPr>
          <w:color w:val="231F20"/>
          <w:spacing w:val="-6"/>
          <w:sz w:val="15"/>
        </w:rPr>
        <w:t> </w:t>
      </w:r>
      <w:r>
        <w:rPr>
          <w:color w:val="231F20"/>
          <w:sz w:val="15"/>
        </w:rPr>
        <w:t>Refugees</w:t>
      </w:r>
      <w:r>
        <w:rPr>
          <w:color w:val="231F20"/>
          <w:spacing w:val="-7"/>
          <w:sz w:val="15"/>
        </w:rPr>
        <w:t> </w:t>
      </w:r>
      <w:r>
        <w:rPr>
          <w:color w:val="231F20"/>
          <w:sz w:val="15"/>
        </w:rPr>
        <w:t>and</w:t>
      </w:r>
      <w:r>
        <w:rPr>
          <w:color w:val="231F20"/>
          <w:spacing w:val="-6"/>
          <w:sz w:val="15"/>
        </w:rPr>
        <w:t> </w:t>
      </w:r>
      <w:r>
        <w:rPr>
          <w:color w:val="231F20"/>
          <w:sz w:val="15"/>
        </w:rPr>
        <w:t>Immigrants:</w:t>
      </w:r>
      <w:r>
        <w:rPr>
          <w:color w:val="231F20"/>
          <w:spacing w:val="-7"/>
          <w:sz w:val="15"/>
        </w:rPr>
        <w:t> </w:t>
      </w:r>
      <w:r>
        <w:rPr>
          <w:color w:val="231F20"/>
          <w:sz w:val="15"/>
        </w:rPr>
        <w:t>Washington,</w:t>
      </w:r>
      <w:r>
        <w:rPr>
          <w:color w:val="231F20"/>
          <w:spacing w:val="-6"/>
          <w:sz w:val="15"/>
        </w:rPr>
        <w:t> </w:t>
      </w:r>
      <w:r>
        <w:rPr>
          <w:color w:val="231F20"/>
          <w:sz w:val="15"/>
        </w:rPr>
        <w:t>DC,</w:t>
      </w:r>
      <w:r>
        <w:rPr>
          <w:color w:val="231F20"/>
          <w:spacing w:val="-7"/>
          <w:sz w:val="15"/>
        </w:rPr>
        <w:t> </w:t>
      </w:r>
      <w:r>
        <w:rPr>
          <w:color w:val="231F20"/>
          <w:sz w:val="15"/>
        </w:rPr>
        <w:t>2004),</w:t>
      </w:r>
      <w:r>
        <w:rPr>
          <w:color w:val="231F20"/>
          <w:spacing w:val="-7"/>
          <w:sz w:val="15"/>
        </w:rPr>
        <w:t> </w:t>
      </w:r>
      <w:r>
        <w:rPr>
          <w:color w:val="231F20"/>
          <w:sz w:val="15"/>
        </w:rPr>
        <w:t>p.</w:t>
      </w:r>
      <w:r>
        <w:rPr>
          <w:color w:val="231F20"/>
          <w:spacing w:val="-6"/>
          <w:sz w:val="15"/>
        </w:rPr>
        <w:t> </w:t>
      </w:r>
      <w:r>
        <w:rPr>
          <w:color w:val="231F20"/>
          <w:sz w:val="15"/>
        </w:rPr>
        <w:t>38.</w:t>
      </w:r>
    </w:p>
    <w:p>
      <w:pPr>
        <w:pStyle w:val="ListParagraph"/>
        <w:numPr>
          <w:ilvl w:val="1"/>
          <w:numId w:val="1"/>
        </w:numPr>
        <w:tabs>
          <w:tab w:pos="440" w:val="left" w:leader="none"/>
        </w:tabs>
        <w:spacing w:line="213" w:lineRule="auto" w:before="2" w:after="0"/>
        <w:ind w:left="100" w:right="121" w:firstLine="182"/>
        <w:jc w:val="both"/>
        <w:rPr>
          <w:sz w:val="15"/>
        </w:rPr>
      </w:pPr>
      <w:r>
        <w:rPr>
          <w:color w:val="231F20"/>
          <w:sz w:val="15"/>
        </w:rPr>
        <w:t>See Brookings Institution–University of Bern Project on Internal Displacement and George- town University, </w:t>
      </w:r>
      <w:r>
        <w:rPr>
          <w:i/>
          <w:color w:val="231F20"/>
          <w:sz w:val="15"/>
        </w:rPr>
        <w:t>When Displacement Ends: A Framework for Durable Solutions </w:t>
      </w:r>
      <w:r>
        <w:rPr>
          <w:color w:val="231F20"/>
          <w:sz w:val="15"/>
        </w:rPr>
        <w:t>(Brookings Insti- tution–University of Bern Project on Internal Displacement: Washington, DC, June 2007); and Ferris (note</w:t>
      </w:r>
      <w:r>
        <w:rPr>
          <w:color w:val="231F20"/>
          <w:spacing w:val="-9"/>
          <w:sz w:val="15"/>
        </w:rPr>
        <w:t> </w:t>
      </w:r>
      <w:r>
        <w:rPr>
          <w:color w:val="231F20"/>
          <w:sz w:val="15"/>
        </w:rPr>
        <w:t>14).</w:t>
      </w:r>
    </w:p>
    <w:p>
      <w:pPr>
        <w:pStyle w:val="ListParagraph"/>
        <w:numPr>
          <w:ilvl w:val="1"/>
          <w:numId w:val="1"/>
        </w:numPr>
        <w:tabs>
          <w:tab w:pos="440" w:val="left" w:leader="none"/>
        </w:tabs>
        <w:spacing w:line="213" w:lineRule="auto" w:before="0" w:after="0"/>
        <w:ind w:left="100" w:right="121" w:firstLine="182"/>
        <w:jc w:val="both"/>
        <w:rPr>
          <w:sz w:val="15"/>
        </w:rPr>
      </w:pPr>
      <w:r>
        <w:rPr>
          <w:color w:val="231F20"/>
          <w:sz w:val="15"/>
        </w:rPr>
        <w:t>Internal Displacement Monitoring Centre (note 4), pp. 13–14. See also Deng, F., ‘Africa’s internally displaced persons’, eds J. Akokpari et al., </w:t>
      </w:r>
      <w:r>
        <w:rPr>
          <w:i/>
          <w:color w:val="231F20"/>
          <w:sz w:val="15"/>
        </w:rPr>
        <w:t>The African Union and its Institutions </w:t>
      </w:r>
      <w:r>
        <w:rPr>
          <w:color w:val="231F20"/>
          <w:sz w:val="15"/>
        </w:rPr>
        <w:t>(Jacana Media: Cape Town,</w:t>
      </w:r>
      <w:r>
        <w:rPr>
          <w:color w:val="231F20"/>
          <w:spacing w:val="-13"/>
          <w:sz w:val="15"/>
        </w:rPr>
        <w:t> </w:t>
      </w:r>
      <w:r>
        <w:rPr>
          <w:color w:val="231F20"/>
          <w:sz w:val="15"/>
        </w:rPr>
        <w:t>2008).</w:t>
      </w:r>
    </w:p>
    <w:p>
      <w:pPr>
        <w:pStyle w:val="ListParagraph"/>
        <w:numPr>
          <w:ilvl w:val="1"/>
          <w:numId w:val="1"/>
        </w:numPr>
        <w:tabs>
          <w:tab w:pos="440" w:val="left" w:leader="none"/>
        </w:tabs>
        <w:spacing w:line="216" w:lineRule="auto" w:before="0" w:after="0"/>
        <w:ind w:left="100" w:right="121" w:firstLine="182"/>
        <w:jc w:val="both"/>
        <w:rPr>
          <w:sz w:val="15"/>
        </w:rPr>
      </w:pPr>
      <w:r>
        <w:rPr>
          <w:color w:val="231F20"/>
          <w:sz w:val="15"/>
        </w:rPr>
        <w:t>US Committee for Refugees and Immigrants (USCRI), </w:t>
      </w:r>
      <w:r>
        <w:rPr>
          <w:i/>
          <w:color w:val="231F20"/>
          <w:sz w:val="15"/>
        </w:rPr>
        <w:t>World Refugee Survey 2007 </w:t>
      </w:r>
      <w:r>
        <w:rPr>
          <w:color w:val="231F20"/>
          <w:sz w:val="15"/>
        </w:rPr>
        <w:t>(USCRI: Washington, DC, 2008), pp.</w:t>
      </w:r>
      <w:r>
        <w:rPr>
          <w:color w:val="231F20"/>
          <w:spacing w:val="-18"/>
          <w:sz w:val="15"/>
        </w:rPr>
        <w:t> </w:t>
      </w:r>
      <w:r>
        <w:rPr>
          <w:color w:val="231F20"/>
          <w:sz w:val="15"/>
        </w:rPr>
        <w:t>30–31.</w:t>
      </w:r>
    </w:p>
    <w:p>
      <w:pPr>
        <w:spacing w:after="0" w:line="216" w:lineRule="auto"/>
        <w:jc w:val="both"/>
        <w:rPr>
          <w:sz w:val="15"/>
        </w:rPr>
        <w:sectPr>
          <w:pgSz w:w="8850" w:h="13270"/>
          <w:pgMar w:header="793" w:footer="0" w:top="1080" w:bottom="280" w:left="1080" w:right="1060"/>
        </w:sectPr>
      </w:pPr>
    </w:p>
    <w:p>
      <w:pPr>
        <w:pStyle w:val="Heading2"/>
        <w:spacing w:before="207"/>
      </w:pPr>
      <w:bookmarkStart w:name="The role of one-sided violence in mass d" w:id="5"/>
      <w:bookmarkEnd w:id="5"/>
      <w:r>
        <w:rPr>
          <w:b w:val="0"/>
        </w:rPr>
      </w:r>
      <w:r>
        <w:rPr>
          <w:color w:val="231F20"/>
          <w:w w:val="105"/>
        </w:rPr>
        <w:t>The role of one-sided violence in mass displacement</w:t>
      </w:r>
    </w:p>
    <w:p>
      <w:pPr>
        <w:pStyle w:val="BodyText"/>
        <w:spacing w:line="278" w:lineRule="auto" w:before="177"/>
        <w:ind w:right="117"/>
      </w:pPr>
      <w:r>
        <w:rPr>
          <w:color w:val="231F20"/>
        </w:rPr>
        <w:t>While many of the world’s more than 37 million IDPs and refugees have  been caught up in the crossﬁre of battle or have ﬂed because of expected ﬁghting in their home areas, a substantial number have been deliberately targeted on political, ethnic, racial or religious grounds by the armed forces of their governments or by non-state armed groups. Such direct and inten- tional attacks on unarmed civilians have been described as ‘one-sided vio- lence’, a UCDP term that moves away from the highly emotive words ‘terrorism’ and ‘genocide’.</w:t>
      </w:r>
      <w:r>
        <w:rPr>
          <w:rFonts w:ascii="Adobe Jenson Pro Lt Capt" w:hAnsi="Adobe Jenson Pro Lt Capt"/>
          <w:b w:val="0"/>
          <w:color w:val="231F20"/>
          <w:position w:val="6"/>
          <w:sz w:val="12"/>
        </w:rPr>
        <w:t>22 </w:t>
      </w:r>
      <w:r>
        <w:rPr>
          <w:color w:val="231F20"/>
        </w:rPr>
        <w:t>When  one-sided  violence  occurs  the  victims are not directly involved in the ﬁghting, although the civilian populations     in some conﬂicts become implicated by association with one of the warring parties. Often those ﬂeeing from one-sided violence are difﬁcult to distinguish from other war-affected populations. Civilians caught up in the crossﬁre of battle and those who are deliberately targeted may ﬂee simultaneously to safer locations. However, people who are the objects of deliberate violence and displacement have a markedly different experience from those trapped in generalized violence and for that reason may be less inclined to return to their</w:t>
      </w:r>
      <w:r>
        <w:rPr>
          <w:color w:val="231F20"/>
          <w:spacing w:val="-2"/>
        </w:rPr>
        <w:t> </w:t>
      </w:r>
      <w:r>
        <w:rPr>
          <w:color w:val="231F20"/>
        </w:rPr>
        <w:t>homes.</w:t>
      </w:r>
    </w:p>
    <w:p>
      <w:pPr>
        <w:pStyle w:val="BodyText"/>
        <w:spacing w:line="278" w:lineRule="auto"/>
        <w:ind w:right="116" w:firstLine="180"/>
      </w:pPr>
      <w:r>
        <w:rPr>
          <w:color w:val="231F20"/>
        </w:rPr>
        <w:t>In 21 of 28 countries with new internal displacement in 2007, govern- ments were found to be responsible, directly or indirectly, for forcibly uprooting their people.</w:t>
      </w:r>
      <w:r>
        <w:rPr>
          <w:rFonts w:ascii="Adobe Jenson Pro Lt Capt" w:hAnsi="Adobe Jenson Pro Lt Capt"/>
          <w:b w:val="0"/>
          <w:color w:val="231F20"/>
          <w:position w:val="6"/>
          <w:sz w:val="12"/>
        </w:rPr>
        <w:t>23 </w:t>
      </w:r>
      <w:r>
        <w:rPr>
          <w:color w:val="231F20"/>
        </w:rPr>
        <w:t>Most affected are countries torn asunder by racial, ethnic, linguistic or religious divisions where the state is monopolized by or identiﬁed with one ethnic group or groups to the exclusion or marginaliza- tion of others. Denied the protection and assistance that a state owes its citizens, these excluded or marginalized groups often come  into  conﬂict  with those in dominant positions. Mass displacement results, with the dis- placed often viewed as the ‘enemy’ either through their association with an insurgent group, an opposing political or ideological affiliation, or more generally with an ethnic, cultural, religious or social group considered inferior or threatening.</w:t>
      </w:r>
      <w:r>
        <w:rPr>
          <w:rFonts w:ascii="Adobe Jenson Pro Lt Capt" w:hAnsi="Adobe Jenson Pro Lt Capt"/>
          <w:b w:val="0"/>
          <w:color w:val="231F20"/>
          <w:position w:val="6"/>
          <w:sz w:val="12"/>
        </w:rPr>
        <w:t>24 </w:t>
      </w:r>
      <w:r>
        <w:rPr>
          <w:color w:val="231F20"/>
        </w:rPr>
        <w:t>When governments become directly involved in uprooting minority populations they often see those they are uprooting not  as their citizens but as ‘the other’. This process of dehumanization enables authorities to more easily explain away the high number of those killed or uprooted.</w:t>
      </w:r>
    </w:p>
    <w:p>
      <w:pPr>
        <w:pStyle w:val="BodyText"/>
        <w:spacing w:before="1"/>
        <w:ind w:left="0"/>
        <w:jc w:val="left"/>
        <w:rPr>
          <w:sz w:val="30"/>
        </w:rPr>
      </w:pPr>
    </w:p>
    <w:p>
      <w:pPr>
        <w:pStyle w:val="ListParagraph"/>
        <w:numPr>
          <w:ilvl w:val="1"/>
          <w:numId w:val="1"/>
        </w:numPr>
        <w:tabs>
          <w:tab w:pos="440" w:val="left" w:leader="none"/>
        </w:tabs>
        <w:spacing w:line="213" w:lineRule="auto" w:before="1" w:after="0"/>
        <w:ind w:left="100" w:right="120" w:firstLine="182"/>
        <w:jc w:val="both"/>
        <w:rPr>
          <w:sz w:val="15"/>
        </w:rPr>
      </w:pPr>
      <w:r>
        <w:rPr>
          <w:color w:val="231F20"/>
          <w:sz w:val="15"/>
        </w:rPr>
        <w:t>UCDP</w:t>
      </w:r>
      <w:r>
        <w:rPr>
          <w:color w:val="231F20"/>
          <w:spacing w:val="-9"/>
          <w:sz w:val="15"/>
        </w:rPr>
        <w:t> </w:t>
      </w:r>
      <w:r>
        <w:rPr>
          <w:color w:val="231F20"/>
          <w:sz w:val="15"/>
        </w:rPr>
        <w:t>deﬁnes</w:t>
      </w:r>
      <w:r>
        <w:rPr>
          <w:color w:val="231F20"/>
          <w:spacing w:val="-8"/>
          <w:sz w:val="15"/>
        </w:rPr>
        <w:t> </w:t>
      </w:r>
      <w:r>
        <w:rPr>
          <w:color w:val="231F20"/>
          <w:sz w:val="15"/>
        </w:rPr>
        <w:t>1-sided</w:t>
      </w:r>
      <w:r>
        <w:rPr>
          <w:color w:val="231F20"/>
          <w:spacing w:val="-8"/>
          <w:sz w:val="15"/>
        </w:rPr>
        <w:t> </w:t>
      </w:r>
      <w:r>
        <w:rPr>
          <w:color w:val="231F20"/>
          <w:sz w:val="15"/>
        </w:rPr>
        <w:t>violence</w:t>
      </w:r>
      <w:r>
        <w:rPr>
          <w:color w:val="231F20"/>
          <w:spacing w:val="-8"/>
          <w:sz w:val="15"/>
        </w:rPr>
        <w:t> </w:t>
      </w:r>
      <w:r>
        <w:rPr>
          <w:color w:val="231F20"/>
          <w:sz w:val="15"/>
        </w:rPr>
        <w:t>against</w:t>
      </w:r>
      <w:r>
        <w:rPr>
          <w:color w:val="231F20"/>
          <w:spacing w:val="-8"/>
          <w:sz w:val="15"/>
        </w:rPr>
        <w:t> </w:t>
      </w:r>
      <w:r>
        <w:rPr>
          <w:color w:val="231F20"/>
          <w:sz w:val="15"/>
        </w:rPr>
        <w:t>civilians</w:t>
      </w:r>
      <w:r>
        <w:rPr>
          <w:color w:val="231F20"/>
          <w:spacing w:val="-8"/>
          <w:sz w:val="15"/>
        </w:rPr>
        <w:t> </w:t>
      </w:r>
      <w:r>
        <w:rPr>
          <w:color w:val="231F20"/>
          <w:sz w:val="15"/>
        </w:rPr>
        <w:t>as</w:t>
      </w:r>
      <w:r>
        <w:rPr>
          <w:color w:val="231F20"/>
          <w:spacing w:val="-8"/>
          <w:sz w:val="15"/>
        </w:rPr>
        <w:t> </w:t>
      </w:r>
      <w:r>
        <w:rPr>
          <w:color w:val="231F20"/>
          <w:sz w:val="15"/>
        </w:rPr>
        <w:t>‘The</w:t>
      </w:r>
      <w:r>
        <w:rPr>
          <w:color w:val="231F20"/>
          <w:spacing w:val="-8"/>
          <w:sz w:val="15"/>
        </w:rPr>
        <w:t> </w:t>
      </w:r>
      <w:r>
        <w:rPr>
          <w:color w:val="231F20"/>
          <w:sz w:val="15"/>
        </w:rPr>
        <w:t>use</w:t>
      </w:r>
      <w:r>
        <w:rPr>
          <w:color w:val="231F20"/>
          <w:spacing w:val="-8"/>
          <w:sz w:val="15"/>
        </w:rPr>
        <w:t> </w:t>
      </w:r>
      <w:r>
        <w:rPr>
          <w:color w:val="231F20"/>
          <w:sz w:val="15"/>
        </w:rPr>
        <w:t>of</w:t>
      </w:r>
      <w:r>
        <w:rPr>
          <w:color w:val="231F20"/>
          <w:spacing w:val="-8"/>
          <w:sz w:val="15"/>
        </w:rPr>
        <w:t> </w:t>
      </w:r>
      <w:r>
        <w:rPr>
          <w:color w:val="231F20"/>
          <w:sz w:val="15"/>
        </w:rPr>
        <w:t>armed</w:t>
      </w:r>
      <w:r>
        <w:rPr>
          <w:color w:val="231F20"/>
          <w:spacing w:val="-8"/>
          <w:sz w:val="15"/>
        </w:rPr>
        <w:t> </w:t>
      </w:r>
      <w:r>
        <w:rPr>
          <w:color w:val="231F20"/>
          <w:sz w:val="15"/>
        </w:rPr>
        <w:t>force</w:t>
      </w:r>
      <w:r>
        <w:rPr>
          <w:color w:val="231F20"/>
          <w:spacing w:val="-8"/>
          <w:sz w:val="15"/>
        </w:rPr>
        <w:t> </w:t>
      </w:r>
      <w:r>
        <w:rPr>
          <w:color w:val="231F20"/>
          <w:sz w:val="15"/>
        </w:rPr>
        <w:t>by</w:t>
      </w:r>
      <w:r>
        <w:rPr>
          <w:color w:val="231F20"/>
          <w:spacing w:val="-8"/>
          <w:sz w:val="15"/>
        </w:rPr>
        <w:t> </w:t>
      </w:r>
      <w:r>
        <w:rPr>
          <w:color w:val="231F20"/>
          <w:sz w:val="15"/>
        </w:rPr>
        <w:t>the</w:t>
      </w:r>
      <w:r>
        <w:rPr>
          <w:color w:val="231F20"/>
          <w:spacing w:val="-8"/>
          <w:sz w:val="15"/>
        </w:rPr>
        <w:t> </w:t>
      </w:r>
      <w:r>
        <w:rPr>
          <w:color w:val="231F20"/>
          <w:sz w:val="15"/>
        </w:rPr>
        <w:t>government of a state or by a formally organized group against civilians which results in at least 25 deaths in a year’. UCDP, ‘UCDP deﬁnitions’, </w:t>
      </w:r>
      <w:hyperlink r:id="rId10">
        <w:r>
          <w:rPr>
            <w:color w:val="231F20"/>
            <w:sz w:val="15"/>
          </w:rPr>
          <w:t>&lt;http://www.ucdp.uu.se/&gt;.</w:t>
        </w:r>
      </w:hyperlink>
      <w:r>
        <w:rPr>
          <w:color w:val="231F20"/>
          <w:sz w:val="15"/>
        </w:rPr>
        <w:t> For more detail see chapter 2 and appendix 2A in this</w:t>
      </w:r>
      <w:r>
        <w:rPr>
          <w:color w:val="231F20"/>
          <w:spacing w:val="-19"/>
          <w:sz w:val="15"/>
        </w:rPr>
        <w:t> </w:t>
      </w:r>
      <w:r>
        <w:rPr>
          <w:color w:val="231F20"/>
          <w:sz w:val="15"/>
        </w:rPr>
        <w:t>volume.</w:t>
      </w:r>
    </w:p>
    <w:p>
      <w:pPr>
        <w:pStyle w:val="ListParagraph"/>
        <w:numPr>
          <w:ilvl w:val="1"/>
          <w:numId w:val="1"/>
        </w:numPr>
        <w:tabs>
          <w:tab w:pos="440" w:val="left" w:leader="none"/>
        </w:tabs>
        <w:spacing w:line="211" w:lineRule="auto" w:before="1" w:after="0"/>
        <w:ind w:left="100" w:right="121" w:firstLine="182"/>
        <w:jc w:val="both"/>
        <w:rPr>
          <w:sz w:val="15"/>
        </w:rPr>
      </w:pPr>
      <w:r>
        <w:rPr>
          <w:color w:val="231F20"/>
          <w:sz w:val="15"/>
        </w:rPr>
        <w:t>Internal Displacement Monitoring Centre (IDMC), </w:t>
      </w:r>
      <w:r>
        <w:rPr>
          <w:i/>
          <w:color w:val="231F20"/>
          <w:sz w:val="15"/>
        </w:rPr>
        <w:t>Internal Displacement: Global Overview of </w:t>
      </w:r>
      <w:r>
        <w:rPr>
          <w:i/>
          <w:color w:val="231F20"/>
          <w:sz w:val="15"/>
        </w:rPr>
        <w:t>Trends</w:t>
      </w:r>
      <w:r>
        <w:rPr>
          <w:i/>
          <w:color w:val="231F20"/>
          <w:spacing w:val="-5"/>
          <w:sz w:val="15"/>
        </w:rPr>
        <w:t> </w:t>
      </w:r>
      <w:r>
        <w:rPr>
          <w:i/>
          <w:color w:val="231F20"/>
          <w:sz w:val="15"/>
        </w:rPr>
        <w:t>and</w:t>
      </w:r>
      <w:r>
        <w:rPr>
          <w:i/>
          <w:color w:val="231F20"/>
          <w:spacing w:val="-4"/>
          <w:sz w:val="15"/>
        </w:rPr>
        <w:t> </w:t>
      </w:r>
      <w:r>
        <w:rPr>
          <w:i/>
          <w:color w:val="231F20"/>
          <w:sz w:val="15"/>
        </w:rPr>
        <w:t>Developments</w:t>
      </w:r>
      <w:r>
        <w:rPr>
          <w:i/>
          <w:color w:val="231F20"/>
          <w:spacing w:val="-4"/>
          <w:sz w:val="15"/>
        </w:rPr>
        <w:t> </w:t>
      </w:r>
      <w:r>
        <w:rPr>
          <w:i/>
          <w:color w:val="231F20"/>
          <w:sz w:val="15"/>
        </w:rPr>
        <w:t>in</w:t>
      </w:r>
      <w:r>
        <w:rPr>
          <w:i/>
          <w:color w:val="231F20"/>
          <w:spacing w:val="-4"/>
          <w:sz w:val="15"/>
        </w:rPr>
        <w:t> </w:t>
      </w:r>
      <w:r>
        <w:rPr>
          <w:i/>
          <w:color w:val="231F20"/>
          <w:sz w:val="15"/>
        </w:rPr>
        <w:t>2007</w:t>
      </w:r>
      <w:r>
        <w:rPr>
          <w:i/>
          <w:color w:val="231F20"/>
          <w:spacing w:val="-4"/>
          <w:sz w:val="15"/>
        </w:rPr>
        <w:t> </w:t>
      </w:r>
      <w:r>
        <w:rPr>
          <w:color w:val="231F20"/>
          <w:sz w:val="15"/>
        </w:rPr>
        <w:t>(IDMC:</w:t>
      </w:r>
      <w:r>
        <w:rPr>
          <w:color w:val="231F20"/>
          <w:spacing w:val="-4"/>
          <w:sz w:val="15"/>
        </w:rPr>
        <w:t> </w:t>
      </w:r>
      <w:r>
        <w:rPr>
          <w:color w:val="231F20"/>
          <w:sz w:val="15"/>
        </w:rPr>
        <w:t>Geneva,</w:t>
      </w:r>
      <w:r>
        <w:rPr>
          <w:color w:val="231F20"/>
          <w:spacing w:val="-5"/>
          <w:sz w:val="15"/>
        </w:rPr>
        <w:t> </w:t>
      </w:r>
      <w:r>
        <w:rPr>
          <w:color w:val="231F20"/>
          <w:sz w:val="15"/>
        </w:rPr>
        <w:t>Apr.</w:t>
      </w:r>
      <w:r>
        <w:rPr>
          <w:color w:val="231F20"/>
          <w:spacing w:val="-4"/>
          <w:sz w:val="15"/>
        </w:rPr>
        <w:t> </w:t>
      </w:r>
      <w:r>
        <w:rPr>
          <w:color w:val="231F20"/>
          <w:sz w:val="15"/>
        </w:rPr>
        <w:t>2008),</w:t>
      </w:r>
      <w:r>
        <w:rPr>
          <w:color w:val="231F20"/>
          <w:spacing w:val="-4"/>
          <w:sz w:val="15"/>
        </w:rPr>
        <w:t> </w:t>
      </w:r>
      <w:r>
        <w:rPr>
          <w:color w:val="231F20"/>
          <w:sz w:val="15"/>
        </w:rPr>
        <w:t>p.</w:t>
      </w:r>
      <w:r>
        <w:rPr>
          <w:color w:val="231F20"/>
          <w:spacing w:val="-4"/>
          <w:sz w:val="15"/>
        </w:rPr>
        <w:t> </w:t>
      </w:r>
      <w:r>
        <w:rPr>
          <w:color w:val="231F20"/>
          <w:sz w:val="15"/>
        </w:rPr>
        <w:t>15.</w:t>
      </w:r>
    </w:p>
    <w:p>
      <w:pPr>
        <w:pStyle w:val="ListParagraph"/>
        <w:numPr>
          <w:ilvl w:val="1"/>
          <w:numId w:val="1"/>
        </w:numPr>
        <w:tabs>
          <w:tab w:pos="440" w:val="left" w:leader="none"/>
        </w:tabs>
        <w:spacing w:line="175" w:lineRule="exact" w:before="0" w:after="0"/>
        <w:ind w:left="439" w:right="0" w:hanging="157"/>
        <w:jc w:val="both"/>
        <w:rPr>
          <w:sz w:val="15"/>
        </w:rPr>
      </w:pPr>
      <w:r>
        <w:rPr>
          <w:color w:val="231F20"/>
          <w:sz w:val="15"/>
        </w:rPr>
        <w:t>See</w:t>
      </w:r>
      <w:r>
        <w:rPr>
          <w:color w:val="231F20"/>
          <w:spacing w:val="-12"/>
          <w:sz w:val="15"/>
        </w:rPr>
        <w:t> </w:t>
      </w:r>
      <w:r>
        <w:rPr>
          <w:color w:val="231F20"/>
          <w:sz w:val="15"/>
        </w:rPr>
        <w:t>Deng,</w:t>
      </w:r>
      <w:r>
        <w:rPr>
          <w:color w:val="231F20"/>
          <w:spacing w:val="-12"/>
          <w:sz w:val="15"/>
        </w:rPr>
        <w:t> </w:t>
      </w:r>
      <w:r>
        <w:rPr>
          <w:color w:val="231F20"/>
          <w:sz w:val="15"/>
        </w:rPr>
        <w:t>F.</w:t>
      </w:r>
      <w:r>
        <w:rPr>
          <w:color w:val="231F20"/>
          <w:spacing w:val="-12"/>
          <w:sz w:val="15"/>
        </w:rPr>
        <w:t> </w:t>
      </w:r>
      <w:r>
        <w:rPr>
          <w:color w:val="231F20"/>
          <w:sz w:val="15"/>
        </w:rPr>
        <w:t>M.,</w:t>
      </w:r>
      <w:r>
        <w:rPr>
          <w:color w:val="231F20"/>
          <w:spacing w:val="-11"/>
          <w:sz w:val="15"/>
        </w:rPr>
        <w:t> </w:t>
      </w:r>
      <w:r>
        <w:rPr>
          <w:color w:val="231F20"/>
          <w:sz w:val="15"/>
        </w:rPr>
        <w:t>‘Internal</w:t>
      </w:r>
      <w:r>
        <w:rPr>
          <w:color w:val="231F20"/>
          <w:spacing w:val="-12"/>
          <w:sz w:val="15"/>
        </w:rPr>
        <w:t> </w:t>
      </w:r>
      <w:r>
        <w:rPr>
          <w:color w:val="231F20"/>
          <w:sz w:val="15"/>
        </w:rPr>
        <w:t>displacement:</w:t>
      </w:r>
      <w:r>
        <w:rPr>
          <w:color w:val="231F20"/>
          <w:spacing w:val="-12"/>
          <w:sz w:val="15"/>
        </w:rPr>
        <w:t> </w:t>
      </w:r>
      <w:r>
        <w:rPr>
          <w:color w:val="231F20"/>
          <w:sz w:val="15"/>
        </w:rPr>
        <w:t>a</w:t>
      </w:r>
      <w:r>
        <w:rPr>
          <w:color w:val="231F20"/>
          <w:spacing w:val="-11"/>
          <w:sz w:val="15"/>
        </w:rPr>
        <w:t> </w:t>
      </w:r>
      <w:r>
        <w:rPr>
          <w:color w:val="231F20"/>
          <w:sz w:val="15"/>
        </w:rPr>
        <w:t>challenge</w:t>
      </w:r>
      <w:r>
        <w:rPr>
          <w:color w:val="231F20"/>
          <w:spacing w:val="-12"/>
          <w:sz w:val="15"/>
        </w:rPr>
        <w:t> </w:t>
      </w:r>
      <w:r>
        <w:rPr>
          <w:color w:val="231F20"/>
          <w:sz w:val="15"/>
        </w:rPr>
        <w:t>of</w:t>
      </w:r>
      <w:r>
        <w:rPr>
          <w:color w:val="231F20"/>
          <w:spacing w:val="-12"/>
          <w:sz w:val="15"/>
        </w:rPr>
        <w:t> </w:t>
      </w:r>
      <w:r>
        <w:rPr>
          <w:color w:val="231F20"/>
          <w:sz w:val="15"/>
        </w:rPr>
        <w:t>peace,</w:t>
      </w:r>
      <w:r>
        <w:rPr>
          <w:color w:val="231F20"/>
          <w:spacing w:val="-11"/>
          <w:sz w:val="15"/>
        </w:rPr>
        <w:t> </w:t>
      </w:r>
      <w:r>
        <w:rPr>
          <w:color w:val="231F20"/>
          <w:sz w:val="15"/>
        </w:rPr>
        <w:t>security,</w:t>
      </w:r>
      <w:r>
        <w:rPr>
          <w:color w:val="231F20"/>
          <w:spacing w:val="-12"/>
          <w:sz w:val="15"/>
        </w:rPr>
        <w:t> </w:t>
      </w:r>
      <w:r>
        <w:rPr>
          <w:color w:val="231F20"/>
          <w:sz w:val="15"/>
        </w:rPr>
        <w:t>and</w:t>
      </w:r>
      <w:r>
        <w:rPr>
          <w:color w:val="231F20"/>
          <w:spacing w:val="-12"/>
          <w:sz w:val="15"/>
        </w:rPr>
        <w:t> </w:t>
      </w:r>
      <w:r>
        <w:rPr>
          <w:color w:val="231F20"/>
          <w:sz w:val="15"/>
        </w:rPr>
        <w:t>nation</w:t>
      </w:r>
      <w:r>
        <w:rPr>
          <w:color w:val="231F20"/>
          <w:spacing w:val="-11"/>
          <w:sz w:val="15"/>
        </w:rPr>
        <w:t> </w:t>
      </w:r>
      <w:r>
        <w:rPr>
          <w:color w:val="231F20"/>
          <w:sz w:val="15"/>
        </w:rPr>
        <w:t>building’,</w:t>
      </w:r>
      <w:r>
        <w:rPr>
          <w:color w:val="231F20"/>
          <w:spacing w:val="-12"/>
          <w:sz w:val="15"/>
        </w:rPr>
        <w:t> </w:t>
      </w:r>
      <w:r>
        <w:rPr>
          <w:color w:val="231F20"/>
          <w:sz w:val="15"/>
        </w:rPr>
        <w:t>ed.</w:t>
      </w:r>
    </w:p>
    <w:p>
      <w:pPr>
        <w:spacing w:line="216" w:lineRule="auto" w:before="3"/>
        <w:ind w:left="101" w:right="121" w:hanging="1"/>
        <w:jc w:val="both"/>
        <w:rPr>
          <w:rFonts w:ascii="Palatino Linotype"/>
          <w:sz w:val="15"/>
        </w:rPr>
      </w:pPr>
      <w:r>
        <w:rPr>
          <w:rFonts w:ascii="Palatino Linotype"/>
          <w:color w:val="231F20"/>
          <w:sz w:val="15"/>
        </w:rPr>
        <w:t>K. Cahill, </w:t>
      </w:r>
      <w:r>
        <w:rPr>
          <w:rFonts w:ascii="Palatino Linotype"/>
          <w:i/>
          <w:color w:val="231F20"/>
          <w:sz w:val="15"/>
        </w:rPr>
        <w:t>Emergency Relief Operations </w:t>
      </w:r>
      <w:r>
        <w:rPr>
          <w:rFonts w:ascii="Palatino Linotype"/>
          <w:color w:val="231F20"/>
          <w:sz w:val="15"/>
        </w:rPr>
        <w:t>(Fordham University Press and Center for International Health and Cooperation: New York, 2003), p. 119.</w:t>
      </w:r>
    </w:p>
    <w:p>
      <w:pPr>
        <w:spacing w:after="0" w:line="216" w:lineRule="auto"/>
        <w:jc w:val="both"/>
        <w:rPr>
          <w:rFonts w:ascii="Palatino Linotype"/>
          <w:sz w:val="15"/>
        </w:rPr>
        <w:sectPr>
          <w:pgSz w:w="8850" w:h="13270"/>
          <w:pgMar w:header="752" w:footer="0" w:top="1080" w:bottom="280" w:left="1080" w:right="1060"/>
        </w:sectPr>
      </w:pPr>
    </w:p>
    <w:p>
      <w:pPr>
        <w:pStyle w:val="BodyText"/>
        <w:spacing w:line="278" w:lineRule="auto" w:before="141"/>
        <w:ind w:right="119" w:firstLine="180"/>
      </w:pPr>
      <w:r>
        <w:rPr>
          <w:color w:val="231F20"/>
        </w:rPr>
        <w:t>In internal conﬂicts where insurgents or warlords are dominant, in par- ticular in failed states, the belligerents often violate the laws of war, both targeting civilians and using them  as weapons of war to achieve political   and military goals. While some rebel groups may succeed in having their legitimate grievances addressed and go on to assume responsible govern- mental roles when conﬂicts end, many more descend into criminal activity, ﬁghting among themselves, seizing the land and possessions of the margin- alized, including refugees and IDPs, and engaging in one-sided violence against civilians and thus causing new displacement.</w:t>
      </w:r>
      <w:r>
        <w:rPr>
          <w:rFonts w:ascii="Adobe Jenson Pro Lt Capt" w:hAnsi="Adobe Jenson Pro Lt Capt"/>
          <w:b w:val="0"/>
          <w:color w:val="231F20"/>
          <w:position w:val="6"/>
          <w:sz w:val="12"/>
        </w:rPr>
        <w:t>25 </w:t>
      </w:r>
      <w:r>
        <w:rPr>
          <w:color w:val="231F20"/>
        </w:rPr>
        <w:t>Some of the worst atrocities against displaced persons have been perpetrated by non-state actors.</w:t>
      </w:r>
    </w:p>
    <w:p>
      <w:pPr>
        <w:pStyle w:val="BodyText"/>
        <w:spacing w:line="278" w:lineRule="auto"/>
        <w:ind w:right="118" w:firstLine="180"/>
      </w:pPr>
      <w:r>
        <w:rPr>
          <w:color w:val="231F20"/>
        </w:rPr>
        <w:t>Iraq and the Darfur region of Sudan are two cases that illustrate the signiﬁcant role that one-sided violence can play in mass displacement. In Iraq, following the bombing of the al-Askari Shia shrine in  Samarra  in  2006, radical Shia and Sunni militias, frequently tied to political parties, police or army units, began to systematically and purposefully persecute,    kill and expel Sunnis and Shias, respectively, from their home  areas  in  order to gain control over those areas.</w:t>
      </w:r>
      <w:r>
        <w:rPr>
          <w:rFonts w:ascii="Adobe Jenson Pro Lt Capt" w:hAnsi="Adobe Jenson Pro Lt Capt"/>
          <w:b w:val="0"/>
          <w:color w:val="231F20"/>
          <w:position w:val="6"/>
          <w:sz w:val="12"/>
        </w:rPr>
        <w:t>26 </w:t>
      </w:r>
      <w:r>
        <w:rPr>
          <w:color w:val="231F20"/>
        </w:rPr>
        <w:t>More than 1.5 million  people  became uprooted within the country in 2006 and 2007 as a result of the sectarian violence while 2 million ﬂed abroad.</w:t>
      </w:r>
      <w:r>
        <w:rPr>
          <w:rFonts w:ascii="Adobe Jenson Pro Lt Capt" w:hAnsi="Adobe Jenson Pro Lt Capt"/>
          <w:b w:val="0"/>
          <w:color w:val="231F20"/>
          <w:position w:val="6"/>
          <w:sz w:val="12"/>
        </w:rPr>
        <w:t>27 </w:t>
      </w:r>
      <w:r>
        <w:rPr>
          <w:color w:val="231F20"/>
        </w:rPr>
        <w:t>The brutality used in uprooting people on ethnic and religious grounds was intended to ensure that they would not return to their home areas, and to date it has largely succeeded. According to the International Organization for Migration, at least 40 per cent of those who ﬂed the sectarian violence within the coun-   try do not expect to return to their original homes.</w:t>
      </w:r>
      <w:r>
        <w:rPr>
          <w:rFonts w:ascii="Adobe Jenson Pro Lt Capt" w:hAnsi="Adobe Jenson Pro Lt Capt"/>
          <w:b w:val="0"/>
          <w:color w:val="231F20"/>
          <w:position w:val="6"/>
          <w:sz w:val="12"/>
        </w:rPr>
        <w:t>28 </w:t>
      </w:r>
      <w:r>
        <w:rPr>
          <w:color w:val="231F20"/>
        </w:rPr>
        <w:t>Of those who ﬂed abroad, who are largely Sunni and Christian, only small numbers have indi- cated</w:t>
      </w:r>
      <w:r>
        <w:rPr>
          <w:color w:val="231F20"/>
          <w:spacing w:val="20"/>
        </w:rPr>
        <w:t> </w:t>
      </w:r>
      <w:r>
        <w:rPr>
          <w:color w:val="231F20"/>
        </w:rPr>
        <w:t>a</w:t>
      </w:r>
      <w:r>
        <w:rPr>
          <w:color w:val="231F20"/>
          <w:spacing w:val="21"/>
        </w:rPr>
        <w:t> </w:t>
      </w:r>
      <w:r>
        <w:rPr>
          <w:color w:val="231F20"/>
        </w:rPr>
        <w:t>desire</w:t>
      </w:r>
      <w:r>
        <w:rPr>
          <w:color w:val="231F20"/>
          <w:spacing w:val="21"/>
        </w:rPr>
        <w:t> </w:t>
      </w:r>
      <w:r>
        <w:rPr>
          <w:color w:val="231F20"/>
        </w:rPr>
        <w:t>to</w:t>
      </w:r>
      <w:r>
        <w:rPr>
          <w:color w:val="231F20"/>
          <w:spacing w:val="21"/>
        </w:rPr>
        <w:t> </w:t>
      </w:r>
      <w:r>
        <w:rPr>
          <w:color w:val="231F20"/>
        </w:rPr>
        <w:t>return</w:t>
      </w:r>
      <w:r>
        <w:rPr>
          <w:color w:val="231F20"/>
          <w:spacing w:val="21"/>
        </w:rPr>
        <w:t> </w:t>
      </w:r>
      <w:r>
        <w:rPr>
          <w:color w:val="231F20"/>
        </w:rPr>
        <w:t>to</w:t>
      </w:r>
      <w:r>
        <w:rPr>
          <w:color w:val="231F20"/>
          <w:spacing w:val="21"/>
        </w:rPr>
        <w:t> </w:t>
      </w:r>
      <w:r>
        <w:rPr>
          <w:color w:val="231F20"/>
        </w:rPr>
        <w:t>Iraq.</w:t>
      </w:r>
      <w:r>
        <w:rPr>
          <w:rFonts w:ascii="Adobe Jenson Pro Lt Capt" w:hAnsi="Adobe Jenson Pro Lt Capt"/>
          <w:b w:val="0"/>
          <w:color w:val="231F20"/>
          <w:position w:val="6"/>
          <w:sz w:val="12"/>
        </w:rPr>
        <w:t>29</w:t>
      </w:r>
      <w:r>
        <w:rPr>
          <w:rFonts w:ascii="Adobe Jenson Pro Lt Capt" w:hAnsi="Adobe Jenson Pro Lt Capt"/>
          <w:b w:val="0"/>
          <w:color w:val="231F20"/>
          <w:spacing w:val="6"/>
          <w:position w:val="6"/>
          <w:sz w:val="12"/>
        </w:rPr>
        <w:t> </w:t>
      </w:r>
      <w:r>
        <w:rPr>
          <w:color w:val="231F20"/>
        </w:rPr>
        <w:t>Of</w:t>
      </w:r>
      <w:r>
        <w:rPr>
          <w:color w:val="231F20"/>
          <w:spacing w:val="21"/>
        </w:rPr>
        <w:t> </w:t>
      </w:r>
      <w:r>
        <w:rPr>
          <w:color w:val="231F20"/>
        </w:rPr>
        <w:t>those</w:t>
      </w:r>
      <w:r>
        <w:rPr>
          <w:color w:val="231F20"/>
          <w:spacing w:val="21"/>
        </w:rPr>
        <w:t> </w:t>
      </w:r>
      <w:r>
        <w:rPr>
          <w:color w:val="231F20"/>
        </w:rPr>
        <w:t>who</w:t>
      </w:r>
      <w:r>
        <w:rPr>
          <w:color w:val="231F20"/>
          <w:spacing w:val="20"/>
        </w:rPr>
        <w:t> </w:t>
      </w:r>
      <w:r>
        <w:rPr>
          <w:color w:val="231F20"/>
        </w:rPr>
        <w:t>have</w:t>
      </w:r>
      <w:r>
        <w:rPr>
          <w:color w:val="231F20"/>
          <w:spacing w:val="21"/>
        </w:rPr>
        <w:t> </w:t>
      </w:r>
      <w:r>
        <w:rPr>
          <w:color w:val="231F20"/>
        </w:rPr>
        <w:t>been</w:t>
      </w:r>
      <w:r>
        <w:rPr>
          <w:color w:val="231F20"/>
          <w:spacing w:val="21"/>
        </w:rPr>
        <w:t> </w:t>
      </w:r>
      <w:r>
        <w:rPr>
          <w:color w:val="231F20"/>
        </w:rPr>
        <w:t>returning,</w:t>
      </w:r>
      <w:r>
        <w:rPr>
          <w:color w:val="231F20"/>
          <w:spacing w:val="21"/>
        </w:rPr>
        <w:t> </w:t>
      </w:r>
      <w:r>
        <w:rPr>
          <w:color w:val="231F20"/>
        </w:rPr>
        <w:t>many</w:t>
      </w:r>
    </w:p>
    <w:p>
      <w:pPr>
        <w:pStyle w:val="ListParagraph"/>
        <w:numPr>
          <w:ilvl w:val="1"/>
          <w:numId w:val="1"/>
        </w:numPr>
        <w:tabs>
          <w:tab w:pos="440" w:val="left" w:leader="none"/>
        </w:tabs>
        <w:spacing w:line="213" w:lineRule="auto" w:before="184" w:after="0"/>
        <w:ind w:left="100" w:right="121" w:firstLine="182"/>
        <w:jc w:val="both"/>
        <w:rPr>
          <w:sz w:val="15"/>
        </w:rPr>
      </w:pPr>
      <w:r>
        <w:rPr>
          <w:color w:val="231F20"/>
          <w:sz w:val="15"/>
        </w:rPr>
        <w:t>See e.g. Fagen, P. W. et al., </w:t>
      </w:r>
      <w:r>
        <w:rPr>
          <w:i/>
          <w:color w:val="231F20"/>
          <w:sz w:val="15"/>
        </w:rPr>
        <w:t>Internal Displacement in Colombia: National and International </w:t>
      </w:r>
      <w:r>
        <w:rPr>
          <w:i/>
          <w:color w:val="231F20"/>
          <w:sz w:val="15"/>
        </w:rPr>
        <w:t>Responses</w:t>
      </w:r>
      <w:r>
        <w:rPr>
          <w:color w:val="231F20"/>
          <w:sz w:val="15"/>
        </w:rPr>
        <w:t>, Danish Institute for International Studies (DIIS), Kongevej Working Paper 03.6, (DIIS: Copenhagen, June 2003), p. 4; and Schomerus, M., </w:t>
      </w:r>
      <w:r>
        <w:rPr>
          <w:i/>
          <w:color w:val="231F20"/>
          <w:sz w:val="15"/>
        </w:rPr>
        <w:t>The Lord’s Resistance Army in Sudan: A History </w:t>
      </w:r>
      <w:r>
        <w:rPr>
          <w:i/>
          <w:color w:val="231F20"/>
          <w:sz w:val="15"/>
        </w:rPr>
        <w:t>and</w:t>
      </w:r>
      <w:r>
        <w:rPr>
          <w:i/>
          <w:color w:val="231F20"/>
          <w:spacing w:val="-4"/>
          <w:sz w:val="15"/>
        </w:rPr>
        <w:t> </w:t>
      </w:r>
      <w:r>
        <w:rPr>
          <w:i/>
          <w:color w:val="231F20"/>
          <w:sz w:val="15"/>
        </w:rPr>
        <w:t>Overview</w:t>
      </w:r>
      <w:r>
        <w:rPr>
          <w:color w:val="231F20"/>
          <w:sz w:val="15"/>
        </w:rPr>
        <w:t>,</w:t>
      </w:r>
      <w:r>
        <w:rPr>
          <w:color w:val="231F20"/>
          <w:spacing w:val="-4"/>
          <w:sz w:val="15"/>
        </w:rPr>
        <w:t> </w:t>
      </w:r>
      <w:r>
        <w:rPr>
          <w:color w:val="231F20"/>
          <w:sz w:val="15"/>
        </w:rPr>
        <w:t>Sudan</w:t>
      </w:r>
      <w:r>
        <w:rPr>
          <w:color w:val="231F20"/>
          <w:spacing w:val="-4"/>
          <w:sz w:val="15"/>
        </w:rPr>
        <w:t> </w:t>
      </w:r>
      <w:r>
        <w:rPr>
          <w:color w:val="231F20"/>
          <w:sz w:val="15"/>
        </w:rPr>
        <w:t>Working</w:t>
      </w:r>
      <w:r>
        <w:rPr>
          <w:color w:val="231F20"/>
          <w:spacing w:val="-4"/>
          <w:sz w:val="15"/>
        </w:rPr>
        <w:t> </w:t>
      </w:r>
      <w:r>
        <w:rPr>
          <w:color w:val="231F20"/>
          <w:sz w:val="15"/>
        </w:rPr>
        <w:t>Paper</w:t>
      </w:r>
      <w:r>
        <w:rPr>
          <w:color w:val="231F20"/>
          <w:spacing w:val="-3"/>
          <w:sz w:val="15"/>
        </w:rPr>
        <w:t> </w:t>
      </w:r>
      <w:r>
        <w:rPr>
          <w:color w:val="231F20"/>
          <w:sz w:val="15"/>
        </w:rPr>
        <w:t>no.</w:t>
      </w:r>
      <w:r>
        <w:rPr>
          <w:color w:val="231F20"/>
          <w:spacing w:val="-4"/>
          <w:sz w:val="15"/>
        </w:rPr>
        <w:t> </w:t>
      </w:r>
      <w:r>
        <w:rPr>
          <w:color w:val="231F20"/>
          <w:sz w:val="15"/>
        </w:rPr>
        <w:t>8</w:t>
      </w:r>
      <w:r>
        <w:rPr>
          <w:color w:val="231F20"/>
          <w:spacing w:val="-4"/>
          <w:sz w:val="15"/>
        </w:rPr>
        <w:t> </w:t>
      </w:r>
      <w:r>
        <w:rPr>
          <w:color w:val="231F20"/>
          <w:sz w:val="15"/>
        </w:rPr>
        <w:t>(Small</w:t>
      </w:r>
      <w:r>
        <w:rPr>
          <w:color w:val="231F20"/>
          <w:spacing w:val="-4"/>
          <w:sz w:val="15"/>
        </w:rPr>
        <w:t> </w:t>
      </w:r>
      <w:r>
        <w:rPr>
          <w:color w:val="231F20"/>
          <w:sz w:val="15"/>
        </w:rPr>
        <w:t>Arms</w:t>
      </w:r>
      <w:r>
        <w:rPr>
          <w:color w:val="231F20"/>
          <w:spacing w:val="-3"/>
          <w:sz w:val="15"/>
        </w:rPr>
        <w:t> </w:t>
      </w:r>
      <w:r>
        <w:rPr>
          <w:color w:val="231F20"/>
          <w:sz w:val="15"/>
        </w:rPr>
        <w:t>Survey,</w:t>
      </w:r>
      <w:r>
        <w:rPr>
          <w:color w:val="231F20"/>
          <w:spacing w:val="-4"/>
          <w:sz w:val="15"/>
        </w:rPr>
        <w:t> </w:t>
      </w:r>
      <w:r>
        <w:rPr>
          <w:color w:val="231F20"/>
          <w:sz w:val="15"/>
        </w:rPr>
        <w:t>Graduate</w:t>
      </w:r>
      <w:r>
        <w:rPr>
          <w:color w:val="231F20"/>
          <w:spacing w:val="-4"/>
          <w:sz w:val="15"/>
        </w:rPr>
        <w:t> </w:t>
      </w:r>
      <w:r>
        <w:rPr>
          <w:color w:val="231F20"/>
          <w:sz w:val="15"/>
        </w:rPr>
        <w:t>Institute</w:t>
      </w:r>
      <w:r>
        <w:rPr>
          <w:color w:val="231F20"/>
          <w:spacing w:val="-4"/>
          <w:sz w:val="15"/>
        </w:rPr>
        <w:t> </w:t>
      </w:r>
      <w:r>
        <w:rPr>
          <w:color w:val="231F20"/>
          <w:sz w:val="15"/>
        </w:rPr>
        <w:t>of</w:t>
      </w:r>
      <w:r>
        <w:rPr>
          <w:color w:val="231F20"/>
          <w:spacing w:val="-3"/>
          <w:sz w:val="15"/>
        </w:rPr>
        <w:t> </w:t>
      </w:r>
      <w:r>
        <w:rPr>
          <w:color w:val="231F20"/>
          <w:sz w:val="15"/>
        </w:rPr>
        <w:t>International Studies: Geneva, 2007), p.</w:t>
      </w:r>
      <w:r>
        <w:rPr>
          <w:color w:val="231F20"/>
          <w:spacing w:val="-18"/>
          <w:sz w:val="15"/>
        </w:rPr>
        <w:t> </w:t>
      </w:r>
      <w:r>
        <w:rPr>
          <w:color w:val="231F20"/>
          <w:sz w:val="15"/>
        </w:rPr>
        <w:t>12.</w:t>
      </w:r>
    </w:p>
    <w:p>
      <w:pPr>
        <w:pStyle w:val="ListParagraph"/>
        <w:numPr>
          <w:ilvl w:val="1"/>
          <w:numId w:val="1"/>
        </w:numPr>
        <w:tabs>
          <w:tab w:pos="440" w:val="left" w:leader="none"/>
        </w:tabs>
        <w:spacing w:line="213" w:lineRule="auto" w:before="0" w:after="0"/>
        <w:ind w:left="100" w:right="121" w:firstLine="182"/>
        <w:jc w:val="both"/>
        <w:rPr>
          <w:sz w:val="15"/>
        </w:rPr>
      </w:pPr>
      <w:r>
        <w:rPr>
          <w:color w:val="231F20"/>
          <w:sz w:val="15"/>
        </w:rPr>
        <w:t>al-Khalidi, A. and Tanner, V., </w:t>
      </w:r>
      <w:r>
        <w:rPr>
          <w:i/>
          <w:color w:val="231F20"/>
          <w:sz w:val="15"/>
        </w:rPr>
        <w:t>Sectarian Violence: Radical Groups Drive Internal Displacement in </w:t>
      </w:r>
      <w:r>
        <w:rPr>
          <w:i/>
          <w:color w:val="231F20"/>
          <w:sz w:val="15"/>
        </w:rPr>
        <w:t>Iraq</w:t>
      </w:r>
      <w:r>
        <w:rPr>
          <w:color w:val="231F20"/>
          <w:sz w:val="15"/>
        </w:rPr>
        <w:t>, Brookings–Bern Project on Internal Displacement Occasional Paper (Brookings Institution– University of Bern Project on Internal Displacement: Washington, DC, Oct. 2006), pp. 7–8, 12–14, 27–29,</w:t>
      </w:r>
      <w:r>
        <w:rPr>
          <w:color w:val="231F20"/>
          <w:spacing w:val="-4"/>
          <w:sz w:val="15"/>
        </w:rPr>
        <w:t> </w:t>
      </w:r>
      <w:r>
        <w:rPr>
          <w:color w:val="231F20"/>
          <w:sz w:val="15"/>
        </w:rPr>
        <w:t>34–35.</w:t>
      </w:r>
    </w:p>
    <w:p>
      <w:pPr>
        <w:pStyle w:val="ListParagraph"/>
        <w:numPr>
          <w:ilvl w:val="1"/>
          <w:numId w:val="1"/>
        </w:numPr>
        <w:tabs>
          <w:tab w:pos="440" w:val="left" w:leader="none"/>
        </w:tabs>
        <w:spacing w:line="213" w:lineRule="auto" w:before="0" w:after="0"/>
        <w:ind w:left="100" w:right="119" w:firstLine="182"/>
        <w:jc w:val="both"/>
        <w:rPr>
          <w:sz w:val="15"/>
        </w:rPr>
      </w:pPr>
      <w:r>
        <w:rPr>
          <w:color w:val="231F20"/>
          <w:sz w:val="15"/>
        </w:rPr>
        <w:t>For estimates of 2.7 million IDPs (1.5 million since Feb. 2006) see International Organization for</w:t>
      </w:r>
      <w:r>
        <w:rPr>
          <w:color w:val="231F20"/>
          <w:spacing w:val="-5"/>
          <w:sz w:val="15"/>
        </w:rPr>
        <w:t> </w:t>
      </w:r>
      <w:r>
        <w:rPr>
          <w:color w:val="231F20"/>
          <w:sz w:val="15"/>
        </w:rPr>
        <w:t>Migration</w:t>
      </w:r>
      <w:r>
        <w:rPr>
          <w:color w:val="231F20"/>
          <w:spacing w:val="-4"/>
          <w:sz w:val="15"/>
        </w:rPr>
        <w:t> </w:t>
      </w:r>
      <w:r>
        <w:rPr>
          <w:color w:val="231F20"/>
          <w:sz w:val="15"/>
        </w:rPr>
        <w:t>(IOM),</w:t>
      </w:r>
      <w:r>
        <w:rPr>
          <w:color w:val="231F20"/>
          <w:spacing w:val="-4"/>
          <w:sz w:val="15"/>
        </w:rPr>
        <w:t> </w:t>
      </w:r>
      <w:r>
        <w:rPr>
          <w:color w:val="231F20"/>
          <w:sz w:val="15"/>
        </w:rPr>
        <w:t>‘IOM</w:t>
      </w:r>
      <w:r>
        <w:rPr>
          <w:color w:val="231F20"/>
          <w:spacing w:val="-4"/>
          <w:sz w:val="15"/>
        </w:rPr>
        <w:t> </w:t>
      </w:r>
      <w:r>
        <w:rPr>
          <w:color w:val="231F20"/>
          <w:sz w:val="15"/>
        </w:rPr>
        <w:t>emergency</w:t>
      </w:r>
      <w:r>
        <w:rPr>
          <w:color w:val="231F20"/>
          <w:spacing w:val="-4"/>
          <w:sz w:val="15"/>
        </w:rPr>
        <w:t> </w:t>
      </w:r>
      <w:r>
        <w:rPr>
          <w:color w:val="231F20"/>
          <w:sz w:val="15"/>
        </w:rPr>
        <w:t>needs</w:t>
      </w:r>
      <w:r>
        <w:rPr>
          <w:color w:val="231F20"/>
          <w:spacing w:val="-4"/>
          <w:sz w:val="15"/>
        </w:rPr>
        <w:t> </w:t>
      </w:r>
      <w:r>
        <w:rPr>
          <w:color w:val="231F20"/>
          <w:sz w:val="15"/>
        </w:rPr>
        <w:t>assessments’,</w:t>
      </w:r>
      <w:r>
        <w:rPr>
          <w:color w:val="231F20"/>
          <w:spacing w:val="-4"/>
          <w:sz w:val="15"/>
        </w:rPr>
        <w:t> </w:t>
      </w:r>
      <w:r>
        <w:rPr>
          <w:color w:val="231F20"/>
          <w:sz w:val="15"/>
        </w:rPr>
        <w:t>bi-weekly</w:t>
      </w:r>
      <w:r>
        <w:rPr>
          <w:color w:val="231F20"/>
          <w:spacing w:val="-4"/>
          <w:sz w:val="15"/>
        </w:rPr>
        <w:t> </w:t>
      </w:r>
      <w:r>
        <w:rPr>
          <w:color w:val="231F20"/>
          <w:sz w:val="15"/>
        </w:rPr>
        <w:t>report,</w:t>
      </w:r>
      <w:r>
        <w:rPr>
          <w:color w:val="231F20"/>
          <w:spacing w:val="-5"/>
          <w:sz w:val="15"/>
        </w:rPr>
        <w:t> </w:t>
      </w:r>
      <w:r>
        <w:rPr>
          <w:color w:val="231F20"/>
          <w:sz w:val="15"/>
        </w:rPr>
        <w:t>15</w:t>
      </w:r>
      <w:r>
        <w:rPr>
          <w:color w:val="231F20"/>
          <w:spacing w:val="-4"/>
          <w:sz w:val="15"/>
        </w:rPr>
        <w:t> </w:t>
      </w:r>
      <w:r>
        <w:rPr>
          <w:color w:val="231F20"/>
          <w:sz w:val="15"/>
        </w:rPr>
        <w:t>Mar.</w:t>
      </w:r>
      <w:r>
        <w:rPr>
          <w:color w:val="231F20"/>
          <w:spacing w:val="-4"/>
          <w:sz w:val="15"/>
        </w:rPr>
        <w:t> </w:t>
      </w:r>
      <w:r>
        <w:rPr>
          <w:color w:val="231F20"/>
          <w:sz w:val="15"/>
        </w:rPr>
        <w:t>2008,</w:t>
      </w:r>
      <w:r>
        <w:rPr>
          <w:color w:val="231F20"/>
          <w:spacing w:val="-4"/>
          <w:sz w:val="15"/>
        </w:rPr>
        <w:t> </w:t>
      </w:r>
      <w:r>
        <w:rPr>
          <w:color w:val="231F20"/>
          <w:sz w:val="15"/>
        </w:rPr>
        <w:t>&lt;http:// </w:t>
      </w:r>
      <w:hyperlink r:id="rId11">
        <w:r>
          <w:rPr>
            <w:color w:val="231F20"/>
            <w:sz w:val="15"/>
          </w:rPr>
          <w:t>www.iom.int/jahia/jsp/&gt;;</w:t>
        </w:r>
        <w:r>
          <w:rPr>
            <w:color w:val="231F20"/>
            <w:spacing w:val="-6"/>
            <w:sz w:val="15"/>
          </w:rPr>
          <w:t> </w:t>
        </w:r>
      </w:hyperlink>
      <w:r>
        <w:rPr>
          <w:color w:val="231F20"/>
          <w:sz w:val="15"/>
        </w:rPr>
        <w:t>for</w:t>
      </w:r>
      <w:r>
        <w:rPr>
          <w:color w:val="231F20"/>
          <w:spacing w:val="-5"/>
          <w:sz w:val="15"/>
        </w:rPr>
        <w:t> </w:t>
      </w:r>
      <w:r>
        <w:rPr>
          <w:color w:val="231F20"/>
          <w:sz w:val="15"/>
        </w:rPr>
        <w:t>estimates</w:t>
      </w:r>
      <w:r>
        <w:rPr>
          <w:color w:val="231F20"/>
          <w:spacing w:val="-5"/>
          <w:sz w:val="15"/>
        </w:rPr>
        <w:t> </w:t>
      </w:r>
      <w:r>
        <w:rPr>
          <w:color w:val="231F20"/>
          <w:sz w:val="15"/>
        </w:rPr>
        <w:t>of</w:t>
      </w:r>
      <w:r>
        <w:rPr>
          <w:color w:val="231F20"/>
          <w:spacing w:val="-5"/>
          <w:sz w:val="15"/>
        </w:rPr>
        <w:t> </w:t>
      </w:r>
      <w:r>
        <w:rPr>
          <w:color w:val="231F20"/>
          <w:sz w:val="15"/>
        </w:rPr>
        <w:t>more</w:t>
      </w:r>
      <w:r>
        <w:rPr>
          <w:color w:val="231F20"/>
          <w:spacing w:val="-5"/>
          <w:sz w:val="15"/>
        </w:rPr>
        <w:t> </w:t>
      </w:r>
      <w:r>
        <w:rPr>
          <w:color w:val="231F20"/>
          <w:sz w:val="15"/>
        </w:rPr>
        <w:t>than</w:t>
      </w:r>
      <w:r>
        <w:rPr>
          <w:color w:val="231F20"/>
          <w:spacing w:val="-5"/>
          <w:sz w:val="15"/>
        </w:rPr>
        <w:t> </w:t>
      </w:r>
      <w:r>
        <w:rPr>
          <w:color w:val="231F20"/>
          <w:sz w:val="15"/>
        </w:rPr>
        <w:t>2</w:t>
      </w:r>
      <w:r>
        <w:rPr>
          <w:color w:val="231F20"/>
          <w:spacing w:val="-5"/>
          <w:sz w:val="15"/>
        </w:rPr>
        <w:t> </w:t>
      </w:r>
      <w:r>
        <w:rPr>
          <w:color w:val="231F20"/>
          <w:sz w:val="15"/>
        </w:rPr>
        <w:t>million</w:t>
      </w:r>
      <w:r>
        <w:rPr>
          <w:color w:val="231F20"/>
          <w:spacing w:val="-5"/>
          <w:sz w:val="15"/>
        </w:rPr>
        <w:t> </w:t>
      </w:r>
      <w:r>
        <w:rPr>
          <w:color w:val="231F20"/>
          <w:sz w:val="15"/>
        </w:rPr>
        <w:t>refugees</w:t>
      </w:r>
      <w:r>
        <w:rPr>
          <w:color w:val="231F20"/>
          <w:spacing w:val="-5"/>
          <w:sz w:val="15"/>
        </w:rPr>
        <w:t> </w:t>
      </w:r>
      <w:r>
        <w:rPr>
          <w:color w:val="231F20"/>
          <w:sz w:val="15"/>
        </w:rPr>
        <w:t>see</w:t>
      </w:r>
      <w:r>
        <w:rPr>
          <w:color w:val="231F20"/>
          <w:spacing w:val="-5"/>
          <w:sz w:val="15"/>
        </w:rPr>
        <w:t> </w:t>
      </w:r>
      <w:r>
        <w:rPr>
          <w:color w:val="231F20"/>
          <w:sz w:val="15"/>
        </w:rPr>
        <w:t>UNHCR,</w:t>
      </w:r>
      <w:r>
        <w:rPr>
          <w:color w:val="231F20"/>
          <w:spacing w:val="-5"/>
          <w:sz w:val="15"/>
        </w:rPr>
        <w:t> </w:t>
      </w:r>
      <w:r>
        <w:rPr>
          <w:color w:val="231F20"/>
          <w:sz w:val="15"/>
        </w:rPr>
        <w:t>‘The</w:t>
      </w:r>
      <w:r>
        <w:rPr>
          <w:color w:val="231F20"/>
          <w:spacing w:val="-5"/>
          <w:sz w:val="15"/>
        </w:rPr>
        <w:t> </w:t>
      </w:r>
      <w:r>
        <w:rPr>
          <w:color w:val="231F20"/>
          <w:sz w:val="15"/>
        </w:rPr>
        <w:t>Iraq</w:t>
      </w:r>
      <w:r>
        <w:rPr>
          <w:color w:val="231F20"/>
          <w:spacing w:val="-5"/>
          <w:sz w:val="15"/>
        </w:rPr>
        <w:t> </w:t>
      </w:r>
      <w:r>
        <w:rPr>
          <w:color w:val="231F20"/>
          <w:sz w:val="15"/>
        </w:rPr>
        <w:t>situ- ation’,</w:t>
      </w:r>
      <w:r>
        <w:rPr>
          <w:color w:val="231F20"/>
          <w:spacing w:val="-4"/>
          <w:sz w:val="15"/>
        </w:rPr>
        <w:t> </w:t>
      </w:r>
      <w:hyperlink r:id="rId12">
        <w:r>
          <w:rPr>
            <w:color w:val="231F20"/>
            <w:sz w:val="15"/>
          </w:rPr>
          <w:t>&lt;http://www.unhcr.org/cgi-bin/texis/vtx/iraq&gt;.</w:t>
        </w:r>
      </w:hyperlink>
    </w:p>
    <w:p>
      <w:pPr>
        <w:pStyle w:val="ListParagraph"/>
        <w:numPr>
          <w:ilvl w:val="1"/>
          <w:numId w:val="1"/>
        </w:numPr>
        <w:tabs>
          <w:tab w:pos="440" w:val="left" w:leader="none"/>
        </w:tabs>
        <w:spacing w:line="213" w:lineRule="auto" w:before="0" w:after="0"/>
        <w:ind w:left="100" w:right="121" w:firstLine="182"/>
        <w:jc w:val="both"/>
        <w:rPr>
          <w:sz w:val="15"/>
        </w:rPr>
      </w:pPr>
      <w:r>
        <w:rPr>
          <w:color w:val="231F20"/>
          <w:sz w:val="15"/>
        </w:rPr>
        <w:t>International Organization for Migration, ‘Iraq displacement: 2007 year in review’, &lt;http:// </w:t>
      </w:r>
      <w:hyperlink r:id="rId13">
        <w:r>
          <w:rPr>
            <w:color w:val="231F20"/>
            <w:sz w:val="15"/>
          </w:rPr>
          <w:t>www.iom-iraq.net/library.html&gt;,</w:t>
        </w:r>
        <w:r>
          <w:rPr>
            <w:color w:val="231F20"/>
            <w:spacing w:val="-10"/>
            <w:sz w:val="15"/>
          </w:rPr>
          <w:t> </w:t>
        </w:r>
      </w:hyperlink>
      <w:r>
        <w:rPr>
          <w:color w:val="231F20"/>
          <w:sz w:val="15"/>
        </w:rPr>
        <w:t>pp.</w:t>
      </w:r>
      <w:r>
        <w:rPr>
          <w:color w:val="231F20"/>
          <w:spacing w:val="-10"/>
          <w:sz w:val="15"/>
        </w:rPr>
        <w:t> </w:t>
      </w:r>
      <w:r>
        <w:rPr>
          <w:color w:val="231F20"/>
          <w:sz w:val="15"/>
        </w:rPr>
        <w:t>4,</w:t>
      </w:r>
      <w:r>
        <w:rPr>
          <w:color w:val="231F20"/>
          <w:spacing w:val="-10"/>
          <w:sz w:val="15"/>
        </w:rPr>
        <w:t> </w:t>
      </w:r>
      <w:r>
        <w:rPr>
          <w:color w:val="231F20"/>
          <w:sz w:val="15"/>
        </w:rPr>
        <w:t>7.</w:t>
      </w:r>
      <w:r>
        <w:rPr>
          <w:color w:val="231F20"/>
          <w:spacing w:val="-9"/>
          <w:sz w:val="15"/>
        </w:rPr>
        <w:t> </w:t>
      </w:r>
      <w:r>
        <w:rPr>
          <w:color w:val="231F20"/>
          <w:sz w:val="15"/>
        </w:rPr>
        <w:t>See</w:t>
      </w:r>
      <w:r>
        <w:rPr>
          <w:color w:val="231F20"/>
          <w:spacing w:val="-10"/>
          <w:sz w:val="15"/>
        </w:rPr>
        <w:t> </w:t>
      </w:r>
      <w:r>
        <w:rPr>
          <w:color w:val="231F20"/>
          <w:sz w:val="15"/>
        </w:rPr>
        <w:t>also</w:t>
      </w:r>
      <w:r>
        <w:rPr>
          <w:color w:val="231F20"/>
          <w:spacing w:val="-10"/>
          <w:sz w:val="15"/>
        </w:rPr>
        <w:t> </w:t>
      </w:r>
      <w:r>
        <w:rPr>
          <w:color w:val="231F20"/>
          <w:sz w:val="15"/>
        </w:rPr>
        <w:t>International</w:t>
      </w:r>
      <w:r>
        <w:rPr>
          <w:color w:val="231F20"/>
          <w:spacing w:val="-10"/>
          <w:sz w:val="15"/>
        </w:rPr>
        <w:t> </w:t>
      </w:r>
      <w:r>
        <w:rPr>
          <w:color w:val="231F20"/>
          <w:sz w:val="15"/>
        </w:rPr>
        <w:t>Medical</w:t>
      </w:r>
      <w:r>
        <w:rPr>
          <w:color w:val="231F20"/>
          <w:spacing w:val="-9"/>
          <w:sz w:val="15"/>
        </w:rPr>
        <w:t> </w:t>
      </w:r>
      <w:r>
        <w:rPr>
          <w:color w:val="231F20"/>
          <w:sz w:val="15"/>
        </w:rPr>
        <w:t>Corps,</w:t>
      </w:r>
      <w:r>
        <w:rPr>
          <w:color w:val="231F20"/>
          <w:spacing w:val="-10"/>
          <w:sz w:val="15"/>
        </w:rPr>
        <w:t> </w:t>
      </w:r>
      <w:r>
        <w:rPr>
          <w:color w:val="231F20"/>
          <w:sz w:val="15"/>
        </w:rPr>
        <w:t>as</w:t>
      </w:r>
      <w:r>
        <w:rPr>
          <w:color w:val="231F20"/>
          <w:spacing w:val="-10"/>
          <w:sz w:val="15"/>
        </w:rPr>
        <w:t> </w:t>
      </w:r>
      <w:r>
        <w:rPr>
          <w:color w:val="231F20"/>
          <w:sz w:val="15"/>
        </w:rPr>
        <w:t>cited</w:t>
      </w:r>
      <w:r>
        <w:rPr>
          <w:color w:val="231F20"/>
          <w:spacing w:val="-9"/>
          <w:sz w:val="15"/>
        </w:rPr>
        <w:t> </w:t>
      </w:r>
      <w:r>
        <w:rPr>
          <w:color w:val="231F20"/>
          <w:sz w:val="15"/>
        </w:rPr>
        <w:t>in</w:t>
      </w:r>
      <w:r>
        <w:rPr>
          <w:color w:val="231F20"/>
          <w:spacing w:val="-10"/>
          <w:sz w:val="15"/>
        </w:rPr>
        <w:t> </w:t>
      </w:r>
      <w:r>
        <w:rPr>
          <w:color w:val="231F20"/>
          <w:sz w:val="15"/>
        </w:rPr>
        <w:t>Ferris,</w:t>
      </w:r>
      <w:r>
        <w:rPr>
          <w:color w:val="231F20"/>
          <w:spacing w:val="-10"/>
          <w:sz w:val="15"/>
        </w:rPr>
        <w:t> </w:t>
      </w:r>
      <w:r>
        <w:rPr>
          <w:color w:val="231F20"/>
          <w:sz w:val="15"/>
        </w:rPr>
        <w:t>E. and Hall, M., ‘Update on humanitarian issues and politics in Iraq’, Brookings–Bern Project on Internal</w:t>
      </w:r>
      <w:r>
        <w:rPr>
          <w:color w:val="231F20"/>
          <w:spacing w:val="22"/>
          <w:sz w:val="15"/>
        </w:rPr>
        <w:t> </w:t>
      </w:r>
      <w:r>
        <w:rPr>
          <w:color w:val="231F20"/>
          <w:sz w:val="15"/>
        </w:rPr>
        <w:t>Displacement,</w:t>
      </w:r>
      <w:r>
        <w:rPr>
          <w:color w:val="231F20"/>
          <w:spacing w:val="23"/>
          <w:sz w:val="15"/>
        </w:rPr>
        <w:t> </w:t>
      </w:r>
      <w:r>
        <w:rPr>
          <w:color w:val="231F20"/>
          <w:sz w:val="15"/>
        </w:rPr>
        <w:t>6</w:t>
      </w:r>
      <w:r>
        <w:rPr>
          <w:color w:val="231F20"/>
          <w:spacing w:val="22"/>
          <w:sz w:val="15"/>
        </w:rPr>
        <w:t> </w:t>
      </w:r>
      <w:r>
        <w:rPr>
          <w:color w:val="231F20"/>
          <w:sz w:val="15"/>
        </w:rPr>
        <w:t>July</w:t>
      </w:r>
      <w:r>
        <w:rPr>
          <w:color w:val="231F20"/>
          <w:spacing w:val="23"/>
          <w:sz w:val="15"/>
        </w:rPr>
        <w:t> </w:t>
      </w:r>
      <w:r>
        <w:rPr>
          <w:color w:val="231F20"/>
          <w:sz w:val="15"/>
        </w:rPr>
        <w:t>2007,</w:t>
      </w:r>
      <w:r>
        <w:rPr>
          <w:color w:val="231F20"/>
          <w:spacing w:val="22"/>
          <w:sz w:val="15"/>
        </w:rPr>
        <w:t> </w:t>
      </w:r>
      <w:hyperlink r:id="rId14">
        <w:r>
          <w:rPr>
            <w:color w:val="231F20"/>
            <w:sz w:val="15"/>
          </w:rPr>
          <w:t>&lt;http://www.brookings.edu/papers/2007/0706humanrights_</w:t>
        </w:r>
      </w:hyperlink>
    </w:p>
    <w:p>
      <w:pPr>
        <w:spacing w:line="175" w:lineRule="exact" w:before="0"/>
        <w:ind w:left="100" w:right="0" w:firstLine="0"/>
        <w:jc w:val="both"/>
        <w:rPr>
          <w:rFonts w:ascii="Palatino Linotype"/>
          <w:sz w:val="15"/>
        </w:rPr>
      </w:pPr>
      <w:r>
        <w:rPr>
          <w:rFonts w:ascii="Palatino Linotype"/>
          <w:color w:val="231F20"/>
          <w:sz w:val="15"/>
        </w:rPr>
        <w:t>ferris.aspx&gt;, p. 2; and al-Khalidi and Tanner (note 26), pp. 14, 35.</w:t>
      </w:r>
    </w:p>
    <w:p>
      <w:pPr>
        <w:pStyle w:val="ListParagraph"/>
        <w:numPr>
          <w:ilvl w:val="1"/>
          <w:numId w:val="1"/>
        </w:numPr>
        <w:tabs>
          <w:tab w:pos="440" w:val="left" w:leader="none"/>
        </w:tabs>
        <w:spacing w:line="213" w:lineRule="auto" w:before="4" w:after="0"/>
        <w:ind w:left="100" w:right="121" w:firstLine="182"/>
        <w:jc w:val="both"/>
        <w:rPr>
          <w:sz w:val="15"/>
        </w:rPr>
      </w:pPr>
      <w:r>
        <w:rPr>
          <w:color w:val="231F20"/>
          <w:sz w:val="15"/>
        </w:rPr>
        <w:t>A UNHCR survey that found that only 4% of the Syrian refugees surveyed plan to return to Iraq.</w:t>
      </w:r>
      <w:r>
        <w:rPr>
          <w:color w:val="231F20"/>
          <w:spacing w:val="-15"/>
          <w:sz w:val="15"/>
        </w:rPr>
        <w:t> </w:t>
      </w:r>
      <w:r>
        <w:rPr>
          <w:color w:val="231F20"/>
          <w:sz w:val="15"/>
        </w:rPr>
        <w:t>UN</w:t>
      </w:r>
      <w:r>
        <w:rPr>
          <w:color w:val="231F20"/>
          <w:spacing w:val="-14"/>
          <w:sz w:val="15"/>
        </w:rPr>
        <w:t> </w:t>
      </w:r>
      <w:r>
        <w:rPr>
          <w:color w:val="231F20"/>
          <w:sz w:val="15"/>
        </w:rPr>
        <w:t>Integrated</w:t>
      </w:r>
      <w:r>
        <w:rPr>
          <w:color w:val="231F20"/>
          <w:spacing w:val="-14"/>
          <w:sz w:val="15"/>
        </w:rPr>
        <w:t> </w:t>
      </w:r>
      <w:r>
        <w:rPr>
          <w:color w:val="231F20"/>
          <w:sz w:val="15"/>
        </w:rPr>
        <w:t>Regional</w:t>
      </w:r>
      <w:r>
        <w:rPr>
          <w:color w:val="231F20"/>
          <w:spacing w:val="-15"/>
          <w:sz w:val="15"/>
        </w:rPr>
        <w:t> </w:t>
      </w:r>
      <w:r>
        <w:rPr>
          <w:color w:val="231F20"/>
          <w:sz w:val="15"/>
        </w:rPr>
        <w:t>Information</w:t>
      </w:r>
      <w:r>
        <w:rPr>
          <w:color w:val="231F20"/>
          <w:spacing w:val="-14"/>
          <w:sz w:val="15"/>
        </w:rPr>
        <w:t> </w:t>
      </w:r>
      <w:r>
        <w:rPr>
          <w:color w:val="231F20"/>
          <w:sz w:val="15"/>
        </w:rPr>
        <w:t>Network</w:t>
      </w:r>
      <w:r>
        <w:rPr>
          <w:color w:val="231F20"/>
          <w:spacing w:val="-14"/>
          <w:sz w:val="15"/>
        </w:rPr>
        <w:t> </w:t>
      </w:r>
      <w:r>
        <w:rPr>
          <w:color w:val="231F20"/>
          <w:sz w:val="15"/>
        </w:rPr>
        <w:t>(IRIN),</w:t>
      </w:r>
      <w:r>
        <w:rPr>
          <w:color w:val="231F20"/>
          <w:spacing w:val="-14"/>
          <w:sz w:val="15"/>
        </w:rPr>
        <w:t> </w:t>
      </w:r>
      <w:r>
        <w:rPr>
          <w:color w:val="231F20"/>
          <w:sz w:val="15"/>
        </w:rPr>
        <w:t>‘Iraq:</w:t>
      </w:r>
      <w:r>
        <w:rPr>
          <w:color w:val="231F20"/>
          <w:spacing w:val="-15"/>
          <w:sz w:val="15"/>
        </w:rPr>
        <w:t> </w:t>
      </w:r>
      <w:r>
        <w:rPr>
          <w:color w:val="231F20"/>
          <w:sz w:val="15"/>
        </w:rPr>
        <w:t>UNHCR</w:t>
      </w:r>
      <w:r>
        <w:rPr>
          <w:color w:val="231F20"/>
          <w:spacing w:val="-14"/>
          <w:sz w:val="15"/>
        </w:rPr>
        <w:t> </w:t>
      </w:r>
      <w:r>
        <w:rPr>
          <w:color w:val="231F20"/>
          <w:sz w:val="15"/>
        </w:rPr>
        <w:t>concerned</w:t>
      </w:r>
      <w:r>
        <w:rPr>
          <w:color w:val="231F20"/>
          <w:spacing w:val="-14"/>
          <w:sz w:val="15"/>
        </w:rPr>
        <w:t> </w:t>
      </w:r>
      <w:r>
        <w:rPr>
          <w:color w:val="231F20"/>
          <w:sz w:val="15"/>
        </w:rPr>
        <w:t>about</w:t>
      </w:r>
      <w:r>
        <w:rPr>
          <w:color w:val="231F20"/>
          <w:spacing w:val="-14"/>
          <w:sz w:val="15"/>
        </w:rPr>
        <w:t> </w:t>
      </w:r>
      <w:r>
        <w:rPr>
          <w:color w:val="231F20"/>
          <w:sz w:val="15"/>
        </w:rPr>
        <w:t>funding for</w:t>
      </w:r>
      <w:r>
        <w:rPr>
          <w:color w:val="231F20"/>
          <w:spacing w:val="7"/>
          <w:sz w:val="15"/>
        </w:rPr>
        <w:t> </w:t>
      </w:r>
      <w:r>
        <w:rPr>
          <w:color w:val="231F20"/>
          <w:sz w:val="15"/>
        </w:rPr>
        <w:t>refugees,</w:t>
      </w:r>
      <w:r>
        <w:rPr>
          <w:color w:val="231F20"/>
          <w:spacing w:val="7"/>
          <w:sz w:val="15"/>
        </w:rPr>
        <w:t> </w:t>
      </w:r>
      <w:r>
        <w:rPr>
          <w:color w:val="231F20"/>
          <w:sz w:val="15"/>
        </w:rPr>
        <w:t>IDPs’,</w:t>
      </w:r>
      <w:r>
        <w:rPr>
          <w:color w:val="231F20"/>
          <w:spacing w:val="8"/>
          <w:sz w:val="15"/>
        </w:rPr>
        <w:t> </w:t>
      </w:r>
      <w:r>
        <w:rPr>
          <w:color w:val="231F20"/>
          <w:sz w:val="15"/>
        </w:rPr>
        <w:t>30</w:t>
      </w:r>
      <w:r>
        <w:rPr>
          <w:color w:val="231F20"/>
          <w:spacing w:val="7"/>
          <w:sz w:val="15"/>
        </w:rPr>
        <w:t> </w:t>
      </w:r>
      <w:r>
        <w:rPr>
          <w:color w:val="231F20"/>
          <w:sz w:val="15"/>
        </w:rPr>
        <w:t>Apr.</w:t>
      </w:r>
      <w:r>
        <w:rPr>
          <w:color w:val="231F20"/>
          <w:spacing w:val="8"/>
          <w:sz w:val="15"/>
        </w:rPr>
        <w:t> </w:t>
      </w:r>
      <w:r>
        <w:rPr>
          <w:color w:val="231F20"/>
          <w:sz w:val="15"/>
        </w:rPr>
        <w:t>2008,</w:t>
      </w:r>
      <w:r>
        <w:rPr>
          <w:color w:val="231F20"/>
          <w:spacing w:val="7"/>
          <w:sz w:val="15"/>
        </w:rPr>
        <w:t> </w:t>
      </w:r>
      <w:hyperlink r:id="rId15">
        <w:r>
          <w:rPr>
            <w:color w:val="231F20"/>
            <w:sz w:val="15"/>
          </w:rPr>
          <w:t>&lt;http://www.irinnews.org/report.aspx?ReportID=77990&gt;.</w:t>
        </w:r>
        <w:r>
          <w:rPr>
            <w:color w:val="231F20"/>
            <w:spacing w:val="8"/>
            <w:sz w:val="15"/>
          </w:rPr>
          <w:t> </w:t>
        </w:r>
      </w:hyperlink>
      <w:r>
        <w:rPr>
          <w:color w:val="231F20"/>
          <w:sz w:val="15"/>
        </w:rPr>
        <w:t>As</w:t>
      </w:r>
      <w:r>
        <w:rPr>
          <w:color w:val="231F20"/>
          <w:spacing w:val="7"/>
          <w:sz w:val="15"/>
        </w:rPr>
        <w:t> </w:t>
      </w:r>
      <w:r>
        <w:rPr>
          <w:color w:val="231F20"/>
          <w:sz w:val="15"/>
        </w:rPr>
        <w:t>of</w:t>
      </w:r>
    </w:p>
    <w:p>
      <w:pPr>
        <w:spacing w:after="0" w:line="213" w:lineRule="auto"/>
        <w:jc w:val="both"/>
        <w:rPr>
          <w:sz w:val="15"/>
        </w:rPr>
        <w:sectPr>
          <w:pgSz w:w="8850" w:h="13270"/>
          <w:pgMar w:header="793" w:footer="0" w:top="1080" w:bottom="280" w:left="1080" w:right="1060"/>
        </w:sectPr>
      </w:pPr>
    </w:p>
    <w:p>
      <w:pPr>
        <w:pStyle w:val="BodyText"/>
        <w:spacing w:line="278" w:lineRule="auto" w:before="141"/>
        <w:ind w:left="101" w:right="119"/>
        <w:rPr>
          <w:rFonts w:ascii="Adobe Jenson Pro Lt Capt"/>
          <w:b w:val="0"/>
          <w:sz w:val="12"/>
        </w:rPr>
      </w:pPr>
      <w:r>
        <w:rPr>
          <w:color w:val="231F20"/>
        </w:rPr>
        <w:t>are reported to prefer to stay in areas where they are in the majority rather than return to their original homes.</w:t>
      </w:r>
      <w:r>
        <w:rPr>
          <w:rFonts w:ascii="Adobe Jenson Pro Lt Capt"/>
          <w:b w:val="0"/>
          <w:color w:val="231F20"/>
          <w:position w:val="6"/>
          <w:sz w:val="12"/>
        </w:rPr>
        <w:t>30</w:t>
      </w:r>
    </w:p>
    <w:p>
      <w:pPr>
        <w:pStyle w:val="BodyText"/>
        <w:spacing w:line="278" w:lineRule="auto"/>
        <w:ind w:right="118" w:firstLine="180"/>
        <w:rPr>
          <w:rFonts w:ascii="Adobe Jenson Pro Lt Capt" w:hAnsi="Adobe Jenson Pro Lt Capt"/>
          <w:b w:val="0"/>
          <w:sz w:val="12"/>
        </w:rPr>
      </w:pPr>
      <w:r>
        <w:rPr>
          <w:color w:val="231F20"/>
        </w:rPr>
        <w:t>The pattern in Iraq might be similar to what happened in Bosnia and Herzegovina after the ethnic cleansing. Substantial numbers eventually returned but the total remains no more than half of Bosnia and Herze- govina’s 2.2 million refugees and IDPs. Moreover, most did not go back to their homes of origin but to areas where their ethnic group was in the majority. After settling property claims in their home areas, many sold or exchanged their property and relocated elsewhere. At least 1 million people did not return.</w:t>
      </w:r>
      <w:r>
        <w:rPr>
          <w:rFonts w:ascii="Adobe Jenson Pro Lt Capt" w:hAnsi="Adobe Jenson Pro Lt Capt"/>
          <w:b w:val="0"/>
          <w:color w:val="231F20"/>
          <w:position w:val="6"/>
          <w:sz w:val="12"/>
        </w:rPr>
        <w:t>31  </w:t>
      </w:r>
      <w:r>
        <w:rPr>
          <w:color w:val="231F20"/>
        </w:rPr>
        <w:t>Despite efforts made to recreate multiethnic communities  in Bosnia and Herzegovina, in ‘only two municipalities . . . Tuzla and Sara- jevo Center do minorities make up more than ten percent of the popu- lation’.</w:t>
      </w:r>
      <w:r>
        <w:rPr>
          <w:rFonts w:ascii="Adobe Jenson Pro Lt Capt" w:hAnsi="Adobe Jenson Pro Lt Capt"/>
          <w:b w:val="0"/>
          <w:color w:val="231F20"/>
          <w:position w:val="6"/>
          <w:sz w:val="12"/>
        </w:rPr>
        <w:t>32</w:t>
      </w:r>
    </w:p>
    <w:p>
      <w:pPr>
        <w:pStyle w:val="BodyText"/>
        <w:spacing w:line="278" w:lineRule="auto"/>
        <w:ind w:right="117" w:firstLine="180"/>
      </w:pPr>
      <w:r>
        <w:rPr>
          <w:color w:val="231F20"/>
        </w:rPr>
        <w:t>In Sudan, where the government response to ethnic grievances and insurgency has been overwhelmingly military, ethnic minority groups com- posed of non-Arab Africans have suffered extreme dispossession and abandonment. Scorched-earth campaigns deliberately uprooted massive numbers of the Dinka and Nuer tribes in the south (during the 22-year civil war), the Nuba on the north–south border, and more recently the Fur, Zaghawa and Massalit tribes in the west. Indeed, Sudan has more intern-  ally displaced persons than any other country in the world: 4.9 million in 2008.</w:t>
      </w:r>
      <w:r>
        <w:rPr>
          <w:rFonts w:ascii="Adobe Jenson Pro Lt Capt" w:hAnsi="Adobe Jenson Pro Lt Capt"/>
          <w:b w:val="0"/>
          <w:color w:val="231F20"/>
          <w:position w:val="6"/>
          <w:sz w:val="12"/>
        </w:rPr>
        <w:t>33 </w:t>
      </w:r>
      <w:r>
        <w:rPr>
          <w:color w:val="231F20"/>
        </w:rPr>
        <w:t>Darfur was just the latest fratricidal chapter in the central govern- ment’s war with marginalized groups it considers inferior. Thus,  when  rebels overran government outposts in 2003, military forces allied  with  Arab</w:t>
      </w:r>
      <w:r>
        <w:rPr>
          <w:color w:val="231F20"/>
          <w:spacing w:val="22"/>
        </w:rPr>
        <w:t> </w:t>
      </w:r>
      <w:r>
        <w:rPr>
          <w:color w:val="231F20"/>
        </w:rPr>
        <w:t>Janjaweed</w:t>
      </w:r>
      <w:r>
        <w:rPr>
          <w:color w:val="231F20"/>
          <w:spacing w:val="23"/>
        </w:rPr>
        <w:t> </w:t>
      </w:r>
      <w:r>
        <w:rPr>
          <w:color w:val="231F20"/>
        </w:rPr>
        <w:t>militias</w:t>
      </w:r>
      <w:r>
        <w:rPr>
          <w:color w:val="231F20"/>
          <w:spacing w:val="23"/>
        </w:rPr>
        <w:t> </w:t>
      </w:r>
      <w:r>
        <w:rPr>
          <w:color w:val="231F20"/>
        </w:rPr>
        <w:t>massacred</w:t>
      </w:r>
      <w:r>
        <w:rPr>
          <w:color w:val="231F20"/>
          <w:spacing w:val="23"/>
        </w:rPr>
        <w:t> </w:t>
      </w:r>
      <w:r>
        <w:rPr>
          <w:color w:val="231F20"/>
        </w:rPr>
        <w:t>tens</w:t>
      </w:r>
      <w:r>
        <w:rPr>
          <w:color w:val="231F20"/>
          <w:spacing w:val="23"/>
        </w:rPr>
        <w:t> </w:t>
      </w:r>
      <w:r>
        <w:rPr>
          <w:color w:val="231F20"/>
        </w:rPr>
        <w:t>of</w:t>
      </w:r>
      <w:r>
        <w:rPr>
          <w:color w:val="231F20"/>
          <w:spacing w:val="23"/>
        </w:rPr>
        <w:t> </w:t>
      </w:r>
      <w:r>
        <w:rPr>
          <w:color w:val="231F20"/>
        </w:rPr>
        <w:t>thousands</w:t>
      </w:r>
      <w:r>
        <w:rPr>
          <w:color w:val="231F20"/>
          <w:spacing w:val="23"/>
        </w:rPr>
        <w:t> </w:t>
      </w:r>
      <w:r>
        <w:rPr>
          <w:color w:val="231F20"/>
        </w:rPr>
        <w:t>of</w:t>
      </w:r>
      <w:r>
        <w:rPr>
          <w:color w:val="231F20"/>
          <w:spacing w:val="22"/>
        </w:rPr>
        <w:t> </w:t>
      </w:r>
      <w:r>
        <w:rPr>
          <w:color w:val="231F20"/>
        </w:rPr>
        <w:t>unarmed</w:t>
      </w:r>
      <w:r>
        <w:rPr>
          <w:color w:val="231F20"/>
          <w:spacing w:val="23"/>
        </w:rPr>
        <w:t> </w:t>
      </w:r>
      <w:r>
        <w:rPr>
          <w:color w:val="231F20"/>
        </w:rPr>
        <w:t>civilians</w:t>
      </w:r>
    </w:p>
    <w:p>
      <w:pPr>
        <w:pStyle w:val="BodyText"/>
        <w:ind w:left="0"/>
        <w:jc w:val="left"/>
        <w:rPr>
          <w:sz w:val="26"/>
        </w:rPr>
      </w:pPr>
    </w:p>
    <w:p>
      <w:pPr>
        <w:spacing w:line="213" w:lineRule="auto" w:before="207"/>
        <w:ind w:left="100" w:right="120" w:firstLine="0"/>
        <w:jc w:val="both"/>
        <w:rPr>
          <w:rFonts w:ascii="Palatino Linotype" w:hAnsi="Palatino Linotype"/>
          <w:sz w:val="15"/>
        </w:rPr>
      </w:pPr>
      <w:r>
        <w:rPr>
          <w:rFonts w:ascii="Palatino Linotype" w:hAnsi="Palatino Linotype"/>
          <w:color w:val="231F20"/>
          <w:sz w:val="15"/>
        </w:rPr>
        <w:t>Apr. 2008, </w:t>
      </w:r>
      <w:r>
        <w:rPr>
          <w:rFonts w:ascii="Palatino Linotype" w:hAnsi="Palatino Linotype"/>
          <w:i/>
          <w:color w:val="231F20"/>
          <w:sz w:val="15"/>
        </w:rPr>
        <w:t>c</w:t>
      </w:r>
      <w:r>
        <w:rPr>
          <w:rFonts w:ascii="Palatino Linotype" w:hAnsi="Palatino Linotype"/>
          <w:color w:val="231F20"/>
          <w:sz w:val="15"/>
        </w:rPr>
        <w:t>. 6000 IDP families had returned—2% of those uprooted since 2006, mostly to areas where their communities were in the majority. UNHCR, ‘Internal displacement update for Iraq’,  1 Apr. 2008,</w:t>
      </w:r>
      <w:r>
        <w:rPr>
          <w:rFonts w:ascii="Palatino Linotype" w:hAnsi="Palatino Linotype"/>
          <w:color w:val="231F20"/>
          <w:spacing w:val="-19"/>
          <w:sz w:val="15"/>
        </w:rPr>
        <w:t> </w:t>
      </w:r>
      <w:hyperlink r:id="rId16">
        <w:r>
          <w:rPr>
            <w:rFonts w:ascii="Palatino Linotype" w:hAnsi="Palatino Linotype"/>
            <w:color w:val="231F20"/>
            <w:sz w:val="15"/>
          </w:rPr>
          <w:t>&lt;http://www.unhcr.org/cgi-bin/texis/vtx/iraq?page=brieﬁng&amp;id=47f20efd6&gt;.</w:t>
        </w:r>
      </w:hyperlink>
    </w:p>
    <w:p>
      <w:pPr>
        <w:pStyle w:val="ListParagraph"/>
        <w:numPr>
          <w:ilvl w:val="1"/>
          <w:numId w:val="1"/>
        </w:numPr>
        <w:tabs>
          <w:tab w:pos="440" w:val="left" w:leader="none"/>
        </w:tabs>
        <w:spacing w:line="211" w:lineRule="auto" w:before="4" w:after="0"/>
        <w:ind w:left="100" w:right="121" w:firstLine="182"/>
        <w:jc w:val="both"/>
        <w:rPr>
          <w:sz w:val="15"/>
        </w:rPr>
      </w:pPr>
      <w:r>
        <w:rPr>
          <w:color w:val="231F20"/>
          <w:sz w:val="15"/>
        </w:rPr>
        <w:t>See Ferris, E., </w:t>
      </w:r>
      <w:r>
        <w:rPr>
          <w:i/>
          <w:color w:val="231F20"/>
          <w:sz w:val="15"/>
        </w:rPr>
        <w:t>The Looming Crisis: Displacement and Security in Iraq</w:t>
      </w:r>
      <w:r>
        <w:rPr>
          <w:color w:val="231F20"/>
          <w:sz w:val="15"/>
        </w:rPr>
        <w:t>, Policy Paper no. 5 (Brook- ings</w:t>
      </w:r>
      <w:r>
        <w:rPr>
          <w:color w:val="231F20"/>
          <w:spacing w:val="-5"/>
          <w:sz w:val="15"/>
        </w:rPr>
        <w:t> </w:t>
      </w:r>
      <w:r>
        <w:rPr>
          <w:color w:val="231F20"/>
          <w:sz w:val="15"/>
        </w:rPr>
        <w:t>Institution:</w:t>
      </w:r>
      <w:r>
        <w:rPr>
          <w:color w:val="231F20"/>
          <w:spacing w:val="-5"/>
          <w:sz w:val="15"/>
        </w:rPr>
        <w:t> </w:t>
      </w:r>
      <w:r>
        <w:rPr>
          <w:color w:val="231F20"/>
          <w:sz w:val="15"/>
        </w:rPr>
        <w:t>Washington,</w:t>
      </w:r>
      <w:r>
        <w:rPr>
          <w:color w:val="231F20"/>
          <w:spacing w:val="-5"/>
          <w:sz w:val="15"/>
        </w:rPr>
        <w:t> </w:t>
      </w:r>
      <w:r>
        <w:rPr>
          <w:color w:val="231F20"/>
          <w:sz w:val="15"/>
        </w:rPr>
        <w:t>DC,</w:t>
      </w:r>
      <w:r>
        <w:rPr>
          <w:color w:val="231F20"/>
          <w:spacing w:val="-5"/>
          <w:sz w:val="15"/>
        </w:rPr>
        <w:t> </w:t>
      </w:r>
      <w:r>
        <w:rPr>
          <w:color w:val="231F20"/>
          <w:sz w:val="15"/>
        </w:rPr>
        <w:t>Aug.</w:t>
      </w:r>
      <w:r>
        <w:rPr>
          <w:color w:val="231F20"/>
          <w:spacing w:val="-5"/>
          <w:sz w:val="15"/>
        </w:rPr>
        <w:t> </w:t>
      </w:r>
      <w:r>
        <w:rPr>
          <w:color w:val="231F20"/>
          <w:sz w:val="15"/>
        </w:rPr>
        <w:t>2008),</w:t>
      </w:r>
      <w:r>
        <w:rPr>
          <w:color w:val="231F20"/>
          <w:spacing w:val="-4"/>
          <w:sz w:val="15"/>
        </w:rPr>
        <w:t> </w:t>
      </w:r>
      <w:r>
        <w:rPr>
          <w:color w:val="231F20"/>
          <w:sz w:val="15"/>
        </w:rPr>
        <w:t>pp.</w:t>
      </w:r>
      <w:r>
        <w:rPr>
          <w:color w:val="231F20"/>
          <w:spacing w:val="-5"/>
          <w:sz w:val="15"/>
        </w:rPr>
        <w:t> </w:t>
      </w:r>
      <w:r>
        <w:rPr>
          <w:color w:val="231F20"/>
          <w:sz w:val="15"/>
        </w:rPr>
        <w:t>24–25.</w:t>
      </w:r>
    </w:p>
    <w:p>
      <w:pPr>
        <w:pStyle w:val="ListParagraph"/>
        <w:numPr>
          <w:ilvl w:val="1"/>
          <w:numId w:val="1"/>
        </w:numPr>
        <w:tabs>
          <w:tab w:pos="440" w:val="left" w:leader="none"/>
        </w:tabs>
        <w:spacing w:line="213" w:lineRule="auto" w:before="2" w:after="0"/>
        <w:ind w:left="100" w:right="120" w:firstLine="182"/>
        <w:jc w:val="both"/>
        <w:rPr>
          <w:sz w:val="15"/>
        </w:rPr>
      </w:pPr>
      <w:r>
        <w:rPr>
          <w:color w:val="231F20"/>
          <w:sz w:val="15"/>
        </w:rPr>
        <w:t>Less than half of the 2.2 million refugees and IDPs had returned to their pre-war homes and municipalities by May 2006. UNHCR in Bosnia and Herzegovina, ‘The state of Annex VII–May 2006’,</w:t>
      </w:r>
      <w:r>
        <w:rPr>
          <w:color w:val="231F20"/>
          <w:spacing w:val="-10"/>
          <w:sz w:val="15"/>
        </w:rPr>
        <w:t> </w:t>
      </w:r>
      <w:hyperlink r:id="rId17">
        <w:r>
          <w:rPr>
            <w:color w:val="231F20"/>
            <w:sz w:val="15"/>
          </w:rPr>
          <w:t>&lt;http://www.unhcr.ba/press/state</w:t>
        </w:r>
        <w:r>
          <w:rPr>
            <w:color w:val="231F20"/>
            <w:spacing w:val="-9"/>
            <w:sz w:val="15"/>
          </w:rPr>
          <w:t> </w:t>
        </w:r>
      </w:hyperlink>
      <w:r>
        <w:rPr>
          <w:color w:val="231F20"/>
          <w:sz w:val="15"/>
        </w:rPr>
        <w:t>of</w:t>
      </w:r>
      <w:r>
        <w:rPr>
          <w:color w:val="231F20"/>
          <w:spacing w:val="-10"/>
          <w:sz w:val="15"/>
        </w:rPr>
        <w:t> </w:t>
      </w:r>
      <w:r>
        <w:rPr>
          <w:color w:val="231F20"/>
          <w:sz w:val="15"/>
        </w:rPr>
        <w:t>annex7.htm&gt;.</w:t>
      </w:r>
      <w:r>
        <w:rPr>
          <w:color w:val="231F20"/>
          <w:spacing w:val="-9"/>
          <w:sz w:val="15"/>
        </w:rPr>
        <w:t> </w:t>
      </w:r>
      <w:r>
        <w:rPr>
          <w:color w:val="231F20"/>
          <w:sz w:val="15"/>
        </w:rPr>
        <w:t>A</w:t>
      </w:r>
      <w:r>
        <w:rPr>
          <w:color w:val="231F20"/>
          <w:spacing w:val="-10"/>
          <w:sz w:val="15"/>
        </w:rPr>
        <w:t> </w:t>
      </w:r>
      <w:r>
        <w:rPr>
          <w:color w:val="231F20"/>
          <w:sz w:val="15"/>
        </w:rPr>
        <w:t>signiﬁcant</w:t>
      </w:r>
      <w:r>
        <w:rPr>
          <w:color w:val="231F20"/>
          <w:spacing w:val="-9"/>
          <w:sz w:val="15"/>
        </w:rPr>
        <w:t> </w:t>
      </w:r>
      <w:r>
        <w:rPr>
          <w:color w:val="231F20"/>
          <w:sz w:val="15"/>
        </w:rPr>
        <w:t>number</w:t>
      </w:r>
      <w:r>
        <w:rPr>
          <w:color w:val="231F20"/>
          <w:spacing w:val="-10"/>
          <w:sz w:val="15"/>
        </w:rPr>
        <w:t> </w:t>
      </w:r>
      <w:r>
        <w:rPr>
          <w:color w:val="231F20"/>
          <w:sz w:val="15"/>
        </w:rPr>
        <w:t>of</w:t>
      </w:r>
      <w:r>
        <w:rPr>
          <w:color w:val="231F20"/>
          <w:spacing w:val="-9"/>
          <w:sz w:val="15"/>
        </w:rPr>
        <w:t> </w:t>
      </w:r>
      <w:r>
        <w:rPr>
          <w:color w:val="231F20"/>
          <w:sz w:val="15"/>
        </w:rPr>
        <w:t>those</w:t>
      </w:r>
      <w:r>
        <w:rPr>
          <w:color w:val="231F20"/>
          <w:spacing w:val="-10"/>
          <w:sz w:val="15"/>
        </w:rPr>
        <w:t> </w:t>
      </w:r>
      <w:r>
        <w:rPr>
          <w:color w:val="231F20"/>
          <w:sz w:val="15"/>
        </w:rPr>
        <w:t>who</w:t>
      </w:r>
      <w:r>
        <w:rPr>
          <w:color w:val="231F20"/>
          <w:spacing w:val="-9"/>
          <w:sz w:val="15"/>
        </w:rPr>
        <w:t> </w:t>
      </w:r>
      <w:r>
        <w:rPr>
          <w:color w:val="231F20"/>
          <w:sz w:val="15"/>
        </w:rPr>
        <w:t>return to</w:t>
      </w:r>
      <w:r>
        <w:rPr>
          <w:color w:val="231F20"/>
          <w:spacing w:val="-5"/>
          <w:sz w:val="15"/>
        </w:rPr>
        <w:t> </w:t>
      </w:r>
      <w:r>
        <w:rPr>
          <w:color w:val="231F20"/>
          <w:sz w:val="15"/>
        </w:rPr>
        <w:t>their</w:t>
      </w:r>
      <w:r>
        <w:rPr>
          <w:color w:val="231F20"/>
          <w:spacing w:val="-5"/>
          <w:sz w:val="15"/>
        </w:rPr>
        <w:t> </w:t>
      </w:r>
      <w:r>
        <w:rPr>
          <w:color w:val="231F20"/>
          <w:sz w:val="15"/>
        </w:rPr>
        <w:t>home</w:t>
      </w:r>
      <w:r>
        <w:rPr>
          <w:color w:val="231F20"/>
          <w:spacing w:val="-4"/>
          <w:sz w:val="15"/>
        </w:rPr>
        <w:t> </w:t>
      </w:r>
      <w:r>
        <w:rPr>
          <w:color w:val="231F20"/>
          <w:sz w:val="15"/>
        </w:rPr>
        <w:t>areas</w:t>
      </w:r>
      <w:r>
        <w:rPr>
          <w:color w:val="231F20"/>
          <w:spacing w:val="-5"/>
          <w:sz w:val="15"/>
        </w:rPr>
        <w:t> </w:t>
      </w:r>
      <w:r>
        <w:rPr>
          <w:color w:val="231F20"/>
          <w:sz w:val="15"/>
        </w:rPr>
        <w:t>later</w:t>
      </w:r>
      <w:r>
        <w:rPr>
          <w:color w:val="231F20"/>
          <w:spacing w:val="-4"/>
          <w:sz w:val="15"/>
        </w:rPr>
        <w:t> </w:t>
      </w:r>
      <w:r>
        <w:rPr>
          <w:color w:val="231F20"/>
          <w:sz w:val="15"/>
        </w:rPr>
        <w:t>relocate.</w:t>
      </w:r>
      <w:r>
        <w:rPr>
          <w:color w:val="231F20"/>
          <w:spacing w:val="-5"/>
          <w:sz w:val="15"/>
        </w:rPr>
        <w:t> </w:t>
      </w:r>
      <w:r>
        <w:rPr>
          <w:color w:val="231F20"/>
          <w:sz w:val="15"/>
        </w:rPr>
        <w:t>Mooney,</w:t>
      </w:r>
      <w:r>
        <w:rPr>
          <w:color w:val="231F20"/>
          <w:spacing w:val="-4"/>
          <w:sz w:val="15"/>
        </w:rPr>
        <w:t> </w:t>
      </w:r>
      <w:r>
        <w:rPr>
          <w:color w:val="231F20"/>
          <w:sz w:val="15"/>
        </w:rPr>
        <w:t>E.,</w:t>
      </w:r>
      <w:r>
        <w:rPr>
          <w:color w:val="231F20"/>
          <w:spacing w:val="-5"/>
          <w:sz w:val="15"/>
        </w:rPr>
        <w:t> </w:t>
      </w:r>
      <w:r>
        <w:rPr>
          <w:color w:val="231F20"/>
          <w:sz w:val="15"/>
        </w:rPr>
        <w:t>‘Securing</w:t>
      </w:r>
      <w:r>
        <w:rPr>
          <w:color w:val="231F20"/>
          <w:spacing w:val="-4"/>
          <w:sz w:val="15"/>
        </w:rPr>
        <w:t> </w:t>
      </w:r>
      <w:r>
        <w:rPr>
          <w:color w:val="231F20"/>
          <w:sz w:val="15"/>
        </w:rPr>
        <w:t>durable</w:t>
      </w:r>
      <w:r>
        <w:rPr>
          <w:color w:val="231F20"/>
          <w:spacing w:val="-5"/>
          <w:sz w:val="15"/>
        </w:rPr>
        <w:t> </w:t>
      </w:r>
      <w:r>
        <w:rPr>
          <w:color w:val="231F20"/>
          <w:sz w:val="15"/>
        </w:rPr>
        <w:t>solutions</w:t>
      </w:r>
      <w:r>
        <w:rPr>
          <w:color w:val="231F20"/>
          <w:spacing w:val="-4"/>
          <w:sz w:val="15"/>
        </w:rPr>
        <w:t> </w:t>
      </w:r>
      <w:r>
        <w:rPr>
          <w:color w:val="231F20"/>
          <w:sz w:val="15"/>
        </w:rPr>
        <w:t>for</w:t>
      </w:r>
      <w:r>
        <w:rPr>
          <w:color w:val="231F20"/>
          <w:spacing w:val="-5"/>
          <w:sz w:val="15"/>
        </w:rPr>
        <w:t> </w:t>
      </w:r>
      <w:r>
        <w:rPr>
          <w:color w:val="231F20"/>
          <w:sz w:val="15"/>
        </w:rPr>
        <w:t>displaced</w:t>
      </w:r>
      <w:r>
        <w:rPr>
          <w:color w:val="231F20"/>
          <w:spacing w:val="-5"/>
          <w:sz w:val="15"/>
        </w:rPr>
        <w:t> </w:t>
      </w:r>
      <w:r>
        <w:rPr>
          <w:color w:val="231F20"/>
          <w:sz w:val="15"/>
        </w:rPr>
        <w:t>persons</w:t>
      </w:r>
      <w:r>
        <w:rPr>
          <w:color w:val="231F20"/>
          <w:spacing w:val="-4"/>
          <w:sz w:val="15"/>
        </w:rPr>
        <w:t> </w:t>
      </w:r>
      <w:r>
        <w:rPr>
          <w:color w:val="231F20"/>
          <w:sz w:val="15"/>
        </w:rPr>
        <w:t>in Georgia:</w:t>
      </w:r>
      <w:r>
        <w:rPr>
          <w:color w:val="231F20"/>
          <w:spacing w:val="-9"/>
          <w:sz w:val="15"/>
        </w:rPr>
        <w:t> </w:t>
      </w:r>
      <w:r>
        <w:rPr>
          <w:color w:val="231F20"/>
          <w:sz w:val="15"/>
        </w:rPr>
        <w:t>the</w:t>
      </w:r>
      <w:r>
        <w:rPr>
          <w:color w:val="231F20"/>
          <w:spacing w:val="-9"/>
          <w:sz w:val="15"/>
        </w:rPr>
        <w:t> </w:t>
      </w:r>
      <w:r>
        <w:rPr>
          <w:color w:val="231F20"/>
          <w:sz w:val="15"/>
        </w:rPr>
        <w:t>experience</w:t>
      </w:r>
      <w:r>
        <w:rPr>
          <w:color w:val="231F20"/>
          <w:spacing w:val="-9"/>
          <w:sz w:val="15"/>
        </w:rPr>
        <w:t> </w:t>
      </w:r>
      <w:r>
        <w:rPr>
          <w:color w:val="231F20"/>
          <w:sz w:val="15"/>
        </w:rPr>
        <w:t>in</w:t>
      </w:r>
      <w:r>
        <w:rPr>
          <w:color w:val="231F20"/>
          <w:spacing w:val="-8"/>
          <w:sz w:val="15"/>
        </w:rPr>
        <w:t> </w:t>
      </w:r>
      <w:r>
        <w:rPr>
          <w:color w:val="231F20"/>
          <w:sz w:val="15"/>
        </w:rPr>
        <w:t>Bosnia</w:t>
      </w:r>
      <w:r>
        <w:rPr>
          <w:color w:val="231F20"/>
          <w:spacing w:val="-9"/>
          <w:sz w:val="15"/>
        </w:rPr>
        <w:t> </w:t>
      </w:r>
      <w:r>
        <w:rPr>
          <w:color w:val="231F20"/>
          <w:sz w:val="15"/>
        </w:rPr>
        <w:t>and</w:t>
      </w:r>
      <w:r>
        <w:rPr>
          <w:color w:val="231F20"/>
          <w:spacing w:val="-9"/>
          <w:sz w:val="15"/>
        </w:rPr>
        <w:t> </w:t>
      </w:r>
      <w:r>
        <w:rPr>
          <w:color w:val="231F20"/>
          <w:sz w:val="15"/>
        </w:rPr>
        <w:t>Herzegovina’,</w:t>
      </w:r>
      <w:r>
        <w:rPr>
          <w:color w:val="231F20"/>
          <w:spacing w:val="-8"/>
          <w:sz w:val="15"/>
        </w:rPr>
        <w:t> </w:t>
      </w:r>
      <w:r>
        <w:rPr>
          <w:color w:val="231F20"/>
          <w:sz w:val="15"/>
        </w:rPr>
        <w:t>Paper</w:t>
      </w:r>
      <w:r>
        <w:rPr>
          <w:color w:val="231F20"/>
          <w:spacing w:val="-9"/>
          <w:sz w:val="15"/>
        </w:rPr>
        <w:t> </w:t>
      </w:r>
      <w:r>
        <w:rPr>
          <w:color w:val="231F20"/>
          <w:sz w:val="15"/>
        </w:rPr>
        <w:t>presented</w:t>
      </w:r>
      <w:r>
        <w:rPr>
          <w:color w:val="231F20"/>
          <w:spacing w:val="-9"/>
          <w:sz w:val="15"/>
        </w:rPr>
        <w:t> </w:t>
      </w:r>
      <w:r>
        <w:rPr>
          <w:color w:val="231F20"/>
          <w:sz w:val="15"/>
        </w:rPr>
        <w:t>at</w:t>
      </w:r>
      <w:r>
        <w:rPr>
          <w:color w:val="231F20"/>
          <w:spacing w:val="-8"/>
          <w:sz w:val="15"/>
        </w:rPr>
        <w:t> </w:t>
      </w:r>
      <w:r>
        <w:rPr>
          <w:color w:val="231F20"/>
          <w:sz w:val="15"/>
        </w:rPr>
        <w:t>the</w:t>
      </w:r>
      <w:r>
        <w:rPr>
          <w:color w:val="231F20"/>
          <w:spacing w:val="-9"/>
          <w:sz w:val="15"/>
        </w:rPr>
        <w:t> </w:t>
      </w:r>
      <w:r>
        <w:rPr>
          <w:color w:val="231F20"/>
          <w:sz w:val="15"/>
        </w:rPr>
        <w:t>Conference</w:t>
      </w:r>
      <w:r>
        <w:rPr>
          <w:color w:val="231F20"/>
          <w:spacing w:val="-9"/>
          <w:sz w:val="15"/>
        </w:rPr>
        <w:t> </w:t>
      </w:r>
      <w:r>
        <w:rPr>
          <w:color w:val="231F20"/>
          <w:sz w:val="15"/>
        </w:rPr>
        <w:t>on</w:t>
      </w:r>
      <w:r>
        <w:rPr>
          <w:color w:val="231F20"/>
          <w:spacing w:val="-8"/>
          <w:sz w:val="15"/>
        </w:rPr>
        <w:t> </w:t>
      </w:r>
      <w:r>
        <w:rPr>
          <w:color w:val="231F20"/>
          <w:sz w:val="15"/>
        </w:rPr>
        <w:t>Conﬂict and Migration: The Georgian–Abkhazian Case in a European Context, Istanbul, 18–19 June 2008. For factors inhibiting returns—such as security problems, discrimination in securing jobs and ser- vices, and limited resources for returnees—see International Crisis Group (ICG), </w:t>
      </w:r>
      <w:r>
        <w:rPr>
          <w:i/>
          <w:color w:val="231F20"/>
          <w:sz w:val="15"/>
        </w:rPr>
        <w:t>The Continuing </w:t>
      </w:r>
      <w:r>
        <w:rPr>
          <w:i/>
          <w:color w:val="231F20"/>
          <w:sz w:val="15"/>
        </w:rPr>
        <w:t>Challenge of Refugee Returns in Bosnia and Herzegovina</w:t>
      </w:r>
      <w:r>
        <w:rPr>
          <w:color w:val="231F20"/>
          <w:sz w:val="15"/>
        </w:rPr>
        <w:t>, Balkans Report no. 137 (ICG: Brussels,        13 Dec. 2002), pp. 14–22; and Internal Displacement Monitoring Centre (IDMC), </w:t>
      </w:r>
      <w:r>
        <w:rPr>
          <w:i/>
          <w:color w:val="231F20"/>
          <w:sz w:val="15"/>
        </w:rPr>
        <w:t>Bosnia and Herze- </w:t>
      </w:r>
      <w:r>
        <w:rPr>
          <w:i/>
          <w:color w:val="231F20"/>
          <w:sz w:val="15"/>
        </w:rPr>
        <w:t>govina: Broader and Improved Support for Durable Solutions Required </w:t>
      </w:r>
      <w:r>
        <w:rPr>
          <w:color w:val="231F20"/>
          <w:sz w:val="15"/>
        </w:rPr>
        <w:t>(IDMC:  Geneva,  28  Aug. 2008), pp.</w:t>
      </w:r>
      <w:r>
        <w:rPr>
          <w:color w:val="231F20"/>
          <w:spacing w:val="-8"/>
          <w:sz w:val="15"/>
        </w:rPr>
        <w:t> </w:t>
      </w:r>
      <w:r>
        <w:rPr>
          <w:color w:val="231F20"/>
          <w:sz w:val="15"/>
        </w:rPr>
        <w:t>6–8.</w:t>
      </w:r>
    </w:p>
    <w:p>
      <w:pPr>
        <w:pStyle w:val="ListParagraph"/>
        <w:numPr>
          <w:ilvl w:val="1"/>
          <w:numId w:val="1"/>
        </w:numPr>
        <w:tabs>
          <w:tab w:pos="440" w:val="left" w:leader="none"/>
        </w:tabs>
        <w:spacing w:line="213" w:lineRule="auto" w:before="0" w:after="0"/>
        <w:ind w:left="100" w:right="120" w:firstLine="182"/>
        <w:jc w:val="both"/>
        <w:rPr>
          <w:sz w:val="15"/>
        </w:rPr>
      </w:pPr>
      <w:r>
        <w:rPr>
          <w:color w:val="231F20"/>
          <w:sz w:val="15"/>
        </w:rPr>
        <w:t>See Sert, D., </w:t>
      </w:r>
      <w:r>
        <w:rPr>
          <w:i/>
          <w:color w:val="231F20"/>
          <w:sz w:val="15"/>
        </w:rPr>
        <w:t>Property Rights in IDP Return and Resettlement: A Quantitative and Comparative </w:t>
      </w:r>
      <w:r>
        <w:rPr>
          <w:i/>
          <w:color w:val="231F20"/>
          <w:sz w:val="15"/>
        </w:rPr>
        <w:t>Case</w:t>
      </w:r>
      <w:r>
        <w:rPr>
          <w:i/>
          <w:color w:val="231F20"/>
          <w:spacing w:val="-6"/>
          <w:sz w:val="15"/>
        </w:rPr>
        <w:t> </w:t>
      </w:r>
      <w:r>
        <w:rPr>
          <w:i/>
          <w:color w:val="231F20"/>
          <w:sz w:val="15"/>
        </w:rPr>
        <w:t>Study</w:t>
      </w:r>
      <w:r>
        <w:rPr>
          <w:color w:val="231F20"/>
          <w:sz w:val="15"/>
        </w:rPr>
        <w:t>,</w:t>
      </w:r>
      <w:r>
        <w:rPr>
          <w:color w:val="231F20"/>
          <w:spacing w:val="-5"/>
          <w:sz w:val="15"/>
        </w:rPr>
        <w:t> </w:t>
      </w:r>
      <w:r>
        <w:rPr>
          <w:color w:val="231F20"/>
          <w:sz w:val="15"/>
        </w:rPr>
        <w:t>unpublished</w:t>
      </w:r>
      <w:r>
        <w:rPr>
          <w:color w:val="231F20"/>
          <w:spacing w:val="-5"/>
          <w:sz w:val="15"/>
        </w:rPr>
        <w:t> </w:t>
      </w:r>
      <w:r>
        <w:rPr>
          <w:color w:val="231F20"/>
          <w:sz w:val="15"/>
        </w:rPr>
        <w:t>PhD</w:t>
      </w:r>
      <w:r>
        <w:rPr>
          <w:color w:val="231F20"/>
          <w:spacing w:val="-6"/>
          <w:sz w:val="15"/>
        </w:rPr>
        <w:t> </w:t>
      </w:r>
      <w:r>
        <w:rPr>
          <w:color w:val="231F20"/>
          <w:sz w:val="15"/>
        </w:rPr>
        <w:t>dissertation,</w:t>
      </w:r>
      <w:r>
        <w:rPr>
          <w:color w:val="231F20"/>
          <w:spacing w:val="-5"/>
          <w:sz w:val="15"/>
        </w:rPr>
        <w:t> </w:t>
      </w:r>
      <w:r>
        <w:rPr>
          <w:color w:val="231F20"/>
          <w:sz w:val="15"/>
        </w:rPr>
        <w:t>City</w:t>
      </w:r>
      <w:r>
        <w:rPr>
          <w:color w:val="231F20"/>
          <w:spacing w:val="-5"/>
          <w:sz w:val="15"/>
        </w:rPr>
        <w:t> </w:t>
      </w:r>
      <w:r>
        <w:rPr>
          <w:color w:val="231F20"/>
          <w:sz w:val="15"/>
        </w:rPr>
        <w:t>University</w:t>
      </w:r>
      <w:r>
        <w:rPr>
          <w:color w:val="231F20"/>
          <w:spacing w:val="-6"/>
          <w:sz w:val="15"/>
        </w:rPr>
        <w:t> </w:t>
      </w:r>
      <w:r>
        <w:rPr>
          <w:color w:val="231F20"/>
          <w:sz w:val="15"/>
        </w:rPr>
        <w:t>of</w:t>
      </w:r>
      <w:r>
        <w:rPr>
          <w:color w:val="231F20"/>
          <w:spacing w:val="-5"/>
          <w:sz w:val="15"/>
        </w:rPr>
        <w:t> </w:t>
      </w:r>
      <w:r>
        <w:rPr>
          <w:color w:val="231F20"/>
          <w:sz w:val="15"/>
        </w:rPr>
        <w:t>New</w:t>
      </w:r>
      <w:r>
        <w:rPr>
          <w:color w:val="231F20"/>
          <w:spacing w:val="-5"/>
          <w:sz w:val="15"/>
        </w:rPr>
        <w:t> </w:t>
      </w:r>
      <w:r>
        <w:rPr>
          <w:color w:val="231F20"/>
          <w:sz w:val="15"/>
        </w:rPr>
        <w:t>York,</w:t>
      </w:r>
      <w:r>
        <w:rPr>
          <w:color w:val="231F20"/>
          <w:spacing w:val="-5"/>
          <w:sz w:val="15"/>
        </w:rPr>
        <w:t> </w:t>
      </w:r>
      <w:r>
        <w:rPr>
          <w:color w:val="231F20"/>
          <w:sz w:val="15"/>
        </w:rPr>
        <w:t>2008,</w:t>
      </w:r>
      <w:r>
        <w:rPr>
          <w:color w:val="231F20"/>
          <w:spacing w:val="-6"/>
          <w:sz w:val="15"/>
        </w:rPr>
        <w:t> </w:t>
      </w:r>
      <w:r>
        <w:rPr>
          <w:color w:val="231F20"/>
          <w:sz w:val="15"/>
        </w:rPr>
        <w:t>pp.</w:t>
      </w:r>
      <w:r>
        <w:rPr>
          <w:color w:val="231F20"/>
          <w:spacing w:val="-5"/>
          <w:sz w:val="15"/>
        </w:rPr>
        <w:t> </w:t>
      </w:r>
      <w:r>
        <w:rPr>
          <w:color w:val="231F20"/>
          <w:sz w:val="15"/>
        </w:rPr>
        <w:t>116–17,</w:t>
      </w:r>
      <w:r>
        <w:rPr>
          <w:color w:val="231F20"/>
          <w:spacing w:val="-5"/>
          <w:sz w:val="15"/>
        </w:rPr>
        <w:t> </w:t>
      </w:r>
      <w:r>
        <w:rPr>
          <w:color w:val="231F20"/>
          <w:sz w:val="15"/>
        </w:rPr>
        <w:t>141;</w:t>
      </w:r>
      <w:r>
        <w:rPr>
          <w:color w:val="231F20"/>
          <w:spacing w:val="-6"/>
          <w:sz w:val="15"/>
        </w:rPr>
        <w:t> </w:t>
      </w:r>
      <w:r>
        <w:rPr>
          <w:color w:val="231F20"/>
          <w:sz w:val="15"/>
        </w:rPr>
        <w:t>and Internal Displacement Monitoring Centre (IDMC), </w:t>
      </w:r>
      <w:r>
        <w:rPr>
          <w:i/>
          <w:color w:val="231F20"/>
          <w:sz w:val="15"/>
        </w:rPr>
        <w:t>Bosnia and Herzegovina: Sectarian Divide Con- </w:t>
      </w:r>
      <w:r>
        <w:rPr>
          <w:i/>
          <w:color w:val="231F20"/>
          <w:sz w:val="15"/>
        </w:rPr>
        <w:t>tinues to Hamper Residual Return and Reintegration of the Displaced </w:t>
      </w:r>
      <w:r>
        <w:rPr>
          <w:color w:val="231F20"/>
          <w:sz w:val="15"/>
        </w:rPr>
        <w:t>(IDMC: Geneva, 25 Oct.</w:t>
      </w:r>
      <w:r>
        <w:rPr>
          <w:color w:val="231F20"/>
          <w:spacing w:val="32"/>
          <w:sz w:val="15"/>
        </w:rPr>
        <w:t> </w:t>
      </w:r>
      <w:r>
        <w:rPr>
          <w:color w:val="231F20"/>
          <w:sz w:val="15"/>
        </w:rPr>
        <w:t>2006).</w:t>
      </w:r>
    </w:p>
    <w:p>
      <w:pPr>
        <w:pStyle w:val="ListParagraph"/>
        <w:numPr>
          <w:ilvl w:val="1"/>
          <w:numId w:val="1"/>
        </w:numPr>
        <w:tabs>
          <w:tab w:pos="440" w:val="left" w:leader="none"/>
        </w:tabs>
        <w:spacing w:line="185" w:lineRule="exact" w:before="0" w:after="0"/>
        <w:ind w:left="439" w:right="0" w:hanging="157"/>
        <w:jc w:val="both"/>
        <w:rPr>
          <w:sz w:val="15"/>
        </w:rPr>
      </w:pPr>
      <w:r>
        <w:rPr>
          <w:color w:val="231F20"/>
          <w:sz w:val="15"/>
        </w:rPr>
        <w:t>Internal</w:t>
      </w:r>
      <w:r>
        <w:rPr>
          <w:color w:val="231F20"/>
          <w:spacing w:val="-5"/>
          <w:sz w:val="15"/>
        </w:rPr>
        <w:t> </w:t>
      </w:r>
      <w:r>
        <w:rPr>
          <w:color w:val="231F20"/>
          <w:sz w:val="15"/>
        </w:rPr>
        <w:t>Displacement</w:t>
      </w:r>
      <w:r>
        <w:rPr>
          <w:color w:val="231F20"/>
          <w:spacing w:val="-5"/>
          <w:sz w:val="15"/>
        </w:rPr>
        <w:t> </w:t>
      </w:r>
      <w:r>
        <w:rPr>
          <w:color w:val="231F20"/>
          <w:sz w:val="15"/>
        </w:rPr>
        <w:t>Monitoring</w:t>
      </w:r>
      <w:r>
        <w:rPr>
          <w:color w:val="231F20"/>
          <w:spacing w:val="-5"/>
          <w:sz w:val="15"/>
        </w:rPr>
        <w:t> </w:t>
      </w:r>
      <w:r>
        <w:rPr>
          <w:color w:val="231F20"/>
          <w:sz w:val="15"/>
        </w:rPr>
        <w:t>Centre</w:t>
      </w:r>
      <w:r>
        <w:rPr>
          <w:color w:val="231F20"/>
          <w:spacing w:val="-5"/>
          <w:sz w:val="15"/>
        </w:rPr>
        <w:t> </w:t>
      </w:r>
      <w:r>
        <w:rPr>
          <w:color w:val="231F20"/>
          <w:sz w:val="15"/>
        </w:rPr>
        <w:t>(note</w:t>
      </w:r>
      <w:r>
        <w:rPr>
          <w:color w:val="231F20"/>
          <w:spacing w:val="-5"/>
          <w:sz w:val="15"/>
        </w:rPr>
        <w:t> </w:t>
      </w:r>
      <w:r>
        <w:rPr>
          <w:color w:val="231F20"/>
          <w:sz w:val="15"/>
        </w:rPr>
        <w:t>4),</w:t>
      </w:r>
      <w:r>
        <w:rPr>
          <w:color w:val="231F20"/>
          <w:spacing w:val="-5"/>
          <w:sz w:val="15"/>
        </w:rPr>
        <w:t> </w:t>
      </w:r>
      <w:r>
        <w:rPr>
          <w:color w:val="231F20"/>
          <w:sz w:val="15"/>
        </w:rPr>
        <w:t>p.</w:t>
      </w:r>
      <w:r>
        <w:rPr>
          <w:color w:val="231F20"/>
          <w:spacing w:val="-5"/>
          <w:sz w:val="15"/>
        </w:rPr>
        <w:t> </w:t>
      </w:r>
      <w:r>
        <w:rPr>
          <w:color w:val="231F20"/>
          <w:sz w:val="15"/>
        </w:rPr>
        <w:t>13.</w:t>
      </w:r>
    </w:p>
    <w:p>
      <w:pPr>
        <w:spacing w:after="0" w:line="185" w:lineRule="exact"/>
        <w:jc w:val="both"/>
        <w:rPr>
          <w:sz w:val="15"/>
        </w:rPr>
        <w:sectPr>
          <w:pgSz w:w="8850" w:h="13270"/>
          <w:pgMar w:header="752" w:footer="0" w:top="1080" w:bottom="280" w:left="1080" w:right="1060"/>
        </w:sectPr>
      </w:pPr>
    </w:p>
    <w:p>
      <w:pPr>
        <w:pStyle w:val="BodyText"/>
        <w:spacing w:line="278" w:lineRule="auto" w:before="141"/>
        <w:ind w:right="117"/>
        <w:rPr>
          <w:rFonts w:ascii="Adobe Jenson Pro Lt Capt" w:hAnsi="Adobe Jenson Pro Lt Capt"/>
          <w:b w:val="0"/>
          <w:sz w:val="12"/>
        </w:rPr>
      </w:pPr>
      <w:bookmarkStart w:name="III. Responding to violence-related mass" w:id="6"/>
      <w:bookmarkEnd w:id="6"/>
      <w:r>
        <w:rPr/>
      </w:r>
      <w:r>
        <w:rPr>
          <w:color w:val="231F20"/>
        </w:rPr>
        <w:t>from Darfur’s tribes (estimates range up to 100 000), raped unknown thou- sands of women and girls, torched an estimated 2000 villages (75 per cent   of all villages), and uprooted more than 2 million people (200 000 more    ﬂed to Chad). Anywhere from 300 000 to 450 000 people, especially in IDP camps, are estimated to have died from killings and conﬂict-related hunger or</w:t>
      </w:r>
      <w:r>
        <w:rPr>
          <w:color w:val="231F20"/>
          <w:spacing w:val="-1"/>
        </w:rPr>
        <w:t> </w:t>
      </w:r>
      <w:r>
        <w:rPr>
          <w:color w:val="231F20"/>
        </w:rPr>
        <w:t>disease.</w:t>
      </w:r>
      <w:r>
        <w:rPr>
          <w:rFonts w:ascii="Adobe Jenson Pro Lt Capt" w:hAnsi="Adobe Jenson Pro Lt Capt"/>
          <w:b w:val="0"/>
          <w:color w:val="231F20"/>
          <w:position w:val="6"/>
          <w:sz w:val="12"/>
        </w:rPr>
        <w:t>34</w:t>
      </w:r>
    </w:p>
    <w:p>
      <w:pPr>
        <w:pStyle w:val="BodyText"/>
        <w:spacing w:line="278" w:lineRule="auto"/>
        <w:ind w:right="116" w:firstLine="180"/>
        <w:rPr>
          <w:rFonts w:ascii="Adobe Jenson Pro Lt Capt" w:hAnsi="Adobe Jenson Pro Lt Capt"/>
          <w:b w:val="0"/>
          <w:sz w:val="12"/>
        </w:rPr>
      </w:pPr>
      <w:r>
        <w:rPr>
          <w:color w:val="231F20"/>
        </w:rPr>
        <w:t>In the DRC over the past decade civilians have been subject to one-sided violence from rebel armies, local militias, foreign armies plundering the country’s resources and, most notably, from their own government’s undis- ciplined troops. Since 1998 it is estimated that 5.4 million Congolese civil- ians have died as a result of conﬂict and related diseases. Today 1.4 million are uprooted from their homes, mostly in the Kivu  provinces  where  renewed ﬁghting between government and  rebel  forces  uprooted  about  250 000 people in the latter part of 2008, in some cases from IDP camps.</w:t>
      </w:r>
      <w:r>
        <w:rPr>
          <w:rFonts w:ascii="Adobe Jenson Pro Lt Capt" w:hAnsi="Adobe Jenson Pro Lt Capt"/>
          <w:b w:val="0"/>
          <w:color w:val="231F20"/>
          <w:position w:val="6"/>
          <w:sz w:val="12"/>
        </w:rPr>
        <w:t>35 </w:t>
      </w:r>
      <w:r>
        <w:rPr>
          <w:color w:val="231F20"/>
        </w:rPr>
        <w:t>Especially targeted were women and girls, hundreds of thousands of whom were systematically raped and mutilated, their families and communities destroyed as a result.</w:t>
      </w:r>
      <w:r>
        <w:rPr>
          <w:rFonts w:ascii="Adobe Jenson Pro Lt Capt" w:hAnsi="Adobe Jenson Pro Lt Capt"/>
          <w:b w:val="0"/>
          <w:color w:val="231F20"/>
          <w:position w:val="6"/>
          <w:sz w:val="12"/>
        </w:rPr>
        <w:t>36  </w:t>
      </w:r>
      <w:r>
        <w:rPr>
          <w:color w:val="231F20"/>
        </w:rPr>
        <w:t>Among the ethnic groups in the country at risk are  the Tutsis, attacks against whom have been engineered by a rebel army comprised of Rwandan Hutus directly implicated in the 1994 genocide. Another rebel army set up to ‘protect’ them has used ethnicity as a pretext  for taking over large swathes of land and trying to topple the government. What becomes clear is that a portion of the unchecked violence in the DRC was a direct outgrowth of the genocide in Rwanda and the failure of the international community to halt it. What also becomes clear is that the government needs international support to bring non-state actors under control. The Lord’s Resistance Army, for example, whose violence  has  spilled over from Uganda, is led by persons indicted by the International Criminal Court; yet its leaders continue to elude</w:t>
      </w:r>
      <w:r>
        <w:rPr>
          <w:color w:val="231F20"/>
          <w:spacing w:val="11"/>
        </w:rPr>
        <w:t> </w:t>
      </w:r>
      <w:r>
        <w:rPr>
          <w:color w:val="231F20"/>
        </w:rPr>
        <w:t>justice.</w:t>
      </w:r>
      <w:r>
        <w:rPr>
          <w:rFonts w:ascii="Adobe Jenson Pro Lt Capt" w:hAnsi="Adobe Jenson Pro Lt Capt"/>
          <w:b w:val="0"/>
          <w:color w:val="231F20"/>
          <w:position w:val="6"/>
          <w:sz w:val="12"/>
        </w:rPr>
        <w:t>37</w:t>
      </w:r>
    </w:p>
    <w:p>
      <w:pPr>
        <w:pStyle w:val="BodyText"/>
        <w:spacing w:before="11"/>
        <w:ind w:left="0"/>
        <w:jc w:val="left"/>
        <w:rPr>
          <w:rFonts w:ascii="Adobe Jenson Pro Lt Capt"/>
          <w:b w:val="0"/>
          <w:sz w:val="20"/>
        </w:rPr>
      </w:pPr>
    </w:p>
    <w:p>
      <w:pPr>
        <w:pStyle w:val="Heading1"/>
        <w:numPr>
          <w:ilvl w:val="0"/>
          <w:numId w:val="1"/>
        </w:numPr>
        <w:tabs>
          <w:tab w:pos="520" w:val="left" w:leader="none"/>
        </w:tabs>
        <w:spacing w:line="240" w:lineRule="auto" w:before="0" w:after="0"/>
        <w:ind w:left="519" w:right="0" w:hanging="420"/>
        <w:jc w:val="left"/>
      </w:pPr>
      <w:r>
        <w:rPr>
          <w:color w:val="231F20"/>
        </w:rPr>
        <w:t>Responding</w:t>
      </w:r>
      <w:r>
        <w:rPr>
          <w:color w:val="231F20"/>
          <w:spacing w:val="-14"/>
        </w:rPr>
        <w:t> </w:t>
      </w:r>
      <w:r>
        <w:rPr>
          <w:color w:val="231F20"/>
        </w:rPr>
        <w:t>to</w:t>
      </w:r>
      <w:r>
        <w:rPr>
          <w:color w:val="231F20"/>
          <w:spacing w:val="-14"/>
        </w:rPr>
        <w:t> </w:t>
      </w:r>
      <w:r>
        <w:rPr>
          <w:color w:val="231F20"/>
        </w:rPr>
        <w:t>violence-related</w:t>
      </w:r>
      <w:r>
        <w:rPr>
          <w:color w:val="231F20"/>
          <w:spacing w:val="-13"/>
        </w:rPr>
        <w:t> </w:t>
      </w:r>
      <w:r>
        <w:rPr>
          <w:color w:val="231F20"/>
        </w:rPr>
        <w:t>mass</w:t>
      </w:r>
      <w:r>
        <w:rPr>
          <w:color w:val="231F20"/>
          <w:spacing w:val="-14"/>
        </w:rPr>
        <w:t> </w:t>
      </w:r>
      <w:r>
        <w:rPr>
          <w:color w:val="231F20"/>
        </w:rPr>
        <w:t>displacement</w:t>
      </w:r>
    </w:p>
    <w:p>
      <w:pPr>
        <w:pStyle w:val="BodyText"/>
        <w:spacing w:line="278" w:lineRule="auto" w:before="194"/>
        <w:ind w:right="118"/>
      </w:pPr>
      <w:r>
        <w:rPr>
          <w:color w:val="231F20"/>
        </w:rPr>
        <w:t>It was not until the early 1990s that attention was ﬁrst paid to protecting    the</w:t>
      </w:r>
      <w:r>
        <w:rPr>
          <w:color w:val="231F20"/>
          <w:spacing w:val="26"/>
        </w:rPr>
        <w:t> </w:t>
      </w:r>
      <w:r>
        <w:rPr>
          <w:color w:val="231F20"/>
        </w:rPr>
        <w:t>physical</w:t>
      </w:r>
      <w:r>
        <w:rPr>
          <w:color w:val="231F20"/>
          <w:spacing w:val="27"/>
        </w:rPr>
        <w:t> </w:t>
      </w:r>
      <w:r>
        <w:rPr>
          <w:color w:val="231F20"/>
        </w:rPr>
        <w:t>security</w:t>
      </w:r>
      <w:r>
        <w:rPr>
          <w:color w:val="231F20"/>
          <w:spacing w:val="27"/>
        </w:rPr>
        <w:t> </w:t>
      </w:r>
      <w:r>
        <w:rPr>
          <w:color w:val="231F20"/>
        </w:rPr>
        <w:t>of</w:t>
      </w:r>
      <w:r>
        <w:rPr>
          <w:color w:val="231F20"/>
          <w:spacing w:val="27"/>
        </w:rPr>
        <w:t> </w:t>
      </w:r>
      <w:r>
        <w:rPr>
          <w:color w:val="231F20"/>
        </w:rPr>
        <w:t>internally</w:t>
      </w:r>
      <w:r>
        <w:rPr>
          <w:color w:val="231F20"/>
          <w:spacing w:val="27"/>
        </w:rPr>
        <w:t> </w:t>
      </w:r>
      <w:r>
        <w:rPr>
          <w:color w:val="231F20"/>
        </w:rPr>
        <w:t>displaced</w:t>
      </w:r>
      <w:r>
        <w:rPr>
          <w:color w:val="231F20"/>
          <w:spacing w:val="27"/>
        </w:rPr>
        <w:t> </w:t>
      </w:r>
      <w:r>
        <w:rPr>
          <w:color w:val="231F20"/>
        </w:rPr>
        <w:t>persons.</w:t>
      </w:r>
      <w:r>
        <w:rPr>
          <w:rFonts w:ascii="Adobe Jenson Pro Lt Capt" w:hAnsi="Adobe Jenson Pro Lt Capt"/>
          <w:b w:val="0"/>
          <w:color w:val="231F20"/>
          <w:position w:val="6"/>
          <w:sz w:val="12"/>
        </w:rPr>
        <w:t>38</w:t>
      </w:r>
      <w:r>
        <w:rPr>
          <w:rFonts w:ascii="Adobe Jenson Pro Lt Capt" w:hAnsi="Adobe Jenson Pro Lt Capt"/>
          <w:b w:val="0"/>
          <w:color w:val="231F20"/>
          <w:spacing w:val="12"/>
          <w:position w:val="6"/>
          <w:sz w:val="12"/>
        </w:rPr>
        <w:t> </w:t>
      </w:r>
      <w:r>
        <w:rPr>
          <w:color w:val="231F20"/>
        </w:rPr>
        <w:t>The</w:t>
      </w:r>
      <w:r>
        <w:rPr>
          <w:color w:val="231F20"/>
          <w:spacing w:val="27"/>
        </w:rPr>
        <w:t> </w:t>
      </w:r>
      <w:r>
        <w:rPr>
          <w:color w:val="231F20"/>
        </w:rPr>
        <w:t>end</w:t>
      </w:r>
      <w:r>
        <w:rPr>
          <w:color w:val="231F20"/>
          <w:spacing w:val="27"/>
        </w:rPr>
        <w:t> </w:t>
      </w:r>
      <w:r>
        <w:rPr>
          <w:color w:val="231F20"/>
        </w:rPr>
        <w:t>of</w:t>
      </w:r>
      <w:r>
        <w:rPr>
          <w:color w:val="231F20"/>
          <w:spacing w:val="27"/>
        </w:rPr>
        <w:t> </w:t>
      </w:r>
      <w:r>
        <w:rPr>
          <w:color w:val="231F20"/>
        </w:rPr>
        <w:t>the</w:t>
      </w:r>
      <w:r>
        <w:rPr>
          <w:color w:val="231F20"/>
          <w:spacing w:val="26"/>
        </w:rPr>
        <w:t> </w:t>
      </w:r>
      <w:r>
        <w:rPr>
          <w:color w:val="231F20"/>
        </w:rPr>
        <w:t>cold</w:t>
      </w:r>
    </w:p>
    <w:p>
      <w:pPr>
        <w:pStyle w:val="BodyText"/>
        <w:spacing w:before="3"/>
        <w:ind w:left="0"/>
        <w:jc w:val="left"/>
        <w:rPr>
          <w:sz w:val="27"/>
        </w:rPr>
      </w:pPr>
    </w:p>
    <w:p>
      <w:pPr>
        <w:pStyle w:val="ListParagraph"/>
        <w:numPr>
          <w:ilvl w:val="0"/>
          <w:numId w:val="2"/>
        </w:numPr>
        <w:tabs>
          <w:tab w:pos="440" w:val="left" w:leader="none"/>
        </w:tabs>
        <w:spacing w:line="213" w:lineRule="auto" w:before="1" w:after="0"/>
        <w:ind w:left="100" w:right="121" w:firstLine="182"/>
        <w:jc w:val="both"/>
        <w:rPr>
          <w:sz w:val="15"/>
        </w:rPr>
      </w:pPr>
      <w:r>
        <w:rPr>
          <w:color w:val="231F20"/>
          <w:sz w:val="15"/>
        </w:rPr>
        <w:t>See Amnesty International, ‘Sudan: 35 IDPs being held incommunicado’, ReliefWeb, 23 Aug. 2007, </w:t>
      </w:r>
      <w:hyperlink r:id="rId18">
        <w:r>
          <w:rPr>
            <w:color w:val="231F20"/>
            <w:sz w:val="15"/>
          </w:rPr>
          <w:t>&lt;http://www.reliefweb.int/rw/rwb.nsf/db900sid/EMAE-76CPGQ&gt;;</w:t>
        </w:r>
      </w:hyperlink>
      <w:r>
        <w:rPr>
          <w:color w:val="231F20"/>
          <w:sz w:val="15"/>
        </w:rPr>
        <w:t> Reeves, E., ‘How many deaths</w:t>
      </w:r>
      <w:r>
        <w:rPr>
          <w:color w:val="231F20"/>
          <w:spacing w:val="-13"/>
          <w:sz w:val="15"/>
        </w:rPr>
        <w:t> </w:t>
      </w:r>
      <w:r>
        <w:rPr>
          <w:color w:val="231F20"/>
          <w:sz w:val="15"/>
        </w:rPr>
        <w:t>in</w:t>
      </w:r>
      <w:r>
        <w:rPr>
          <w:color w:val="231F20"/>
          <w:spacing w:val="-12"/>
          <w:sz w:val="15"/>
        </w:rPr>
        <w:t> </w:t>
      </w:r>
      <w:r>
        <w:rPr>
          <w:color w:val="231F20"/>
          <w:sz w:val="15"/>
        </w:rPr>
        <w:t>Darfur?’</w:t>
      </w:r>
      <w:r>
        <w:rPr>
          <w:color w:val="231F20"/>
          <w:spacing w:val="-13"/>
          <w:sz w:val="15"/>
        </w:rPr>
        <w:t> </w:t>
      </w:r>
      <w:r>
        <w:rPr>
          <w:i/>
          <w:color w:val="231F20"/>
          <w:sz w:val="15"/>
        </w:rPr>
        <w:t>The</w:t>
      </w:r>
      <w:r>
        <w:rPr>
          <w:i/>
          <w:color w:val="231F20"/>
          <w:spacing w:val="-12"/>
          <w:sz w:val="15"/>
        </w:rPr>
        <w:t> </w:t>
      </w:r>
      <w:r>
        <w:rPr>
          <w:i/>
          <w:color w:val="231F20"/>
          <w:sz w:val="15"/>
        </w:rPr>
        <w:t>Guardian</w:t>
      </w:r>
      <w:r>
        <w:rPr>
          <w:color w:val="231F20"/>
          <w:sz w:val="15"/>
        </w:rPr>
        <w:t>,</w:t>
      </w:r>
      <w:r>
        <w:rPr>
          <w:color w:val="231F20"/>
          <w:spacing w:val="-13"/>
          <w:sz w:val="15"/>
        </w:rPr>
        <w:t> </w:t>
      </w:r>
      <w:r>
        <w:rPr>
          <w:color w:val="231F20"/>
          <w:sz w:val="15"/>
        </w:rPr>
        <w:t>20</w:t>
      </w:r>
      <w:r>
        <w:rPr>
          <w:color w:val="231F20"/>
          <w:spacing w:val="-13"/>
          <w:sz w:val="15"/>
        </w:rPr>
        <w:t> </w:t>
      </w:r>
      <w:r>
        <w:rPr>
          <w:color w:val="231F20"/>
          <w:sz w:val="15"/>
        </w:rPr>
        <w:t>Aug.</w:t>
      </w:r>
      <w:r>
        <w:rPr>
          <w:color w:val="231F20"/>
          <w:spacing w:val="-12"/>
          <w:sz w:val="15"/>
        </w:rPr>
        <w:t> </w:t>
      </w:r>
      <w:r>
        <w:rPr>
          <w:color w:val="231F20"/>
          <w:sz w:val="15"/>
        </w:rPr>
        <w:t>2007;</w:t>
      </w:r>
      <w:r>
        <w:rPr>
          <w:color w:val="231F20"/>
          <w:spacing w:val="-13"/>
          <w:sz w:val="15"/>
        </w:rPr>
        <w:t> </w:t>
      </w:r>
      <w:r>
        <w:rPr>
          <w:color w:val="231F20"/>
          <w:sz w:val="15"/>
        </w:rPr>
        <w:t>and</w:t>
      </w:r>
      <w:r>
        <w:rPr>
          <w:color w:val="231F20"/>
          <w:spacing w:val="-12"/>
          <w:sz w:val="15"/>
        </w:rPr>
        <w:t> </w:t>
      </w:r>
      <w:r>
        <w:rPr>
          <w:color w:val="231F20"/>
          <w:sz w:val="15"/>
        </w:rPr>
        <w:t>Save</w:t>
      </w:r>
      <w:r>
        <w:rPr>
          <w:color w:val="231F20"/>
          <w:spacing w:val="-13"/>
          <w:sz w:val="15"/>
        </w:rPr>
        <w:t> </w:t>
      </w:r>
      <w:r>
        <w:rPr>
          <w:color w:val="231F20"/>
          <w:sz w:val="15"/>
        </w:rPr>
        <w:t>Darfur</w:t>
      </w:r>
      <w:r>
        <w:rPr>
          <w:color w:val="231F20"/>
          <w:spacing w:val="-12"/>
          <w:sz w:val="15"/>
        </w:rPr>
        <w:t> </w:t>
      </w:r>
      <w:r>
        <w:rPr>
          <w:color w:val="231F20"/>
          <w:sz w:val="15"/>
        </w:rPr>
        <w:t>Coalition,</w:t>
      </w:r>
      <w:r>
        <w:rPr>
          <w:color w:val="231F20"/>
          <w:spacing w:val="-13"/>
          <w:sz w:val="15"/>
        </w:rPr>
        <w:t> </w:t>
      </w:r>
      <w:r>
        <w:rPr>
          <w:color w:val="231F20"/>
          <w:sz w:val="15"/>
        </w:rPr>
        <w:t>‘The</w:t>
      </w:r>
      <w:r>
        <w:rPr>
          <w:color w:val="231F20"/>
          <w:spacing w:val="-12"/>
          <w:sz w:val="15"/>
        </w:rPr>
        <w:t> </w:t>
      </w:r>
      <w:r>
        <w:rPr>
          <w:color w:val="231F20"/>
          <w:sz w:val="15"/>
        </w:rPr>
        <w:t>genocide</w:t>
      </w:r>
      <w:r>
        <w:rPr>
          <w:color w:val="231F20"/>
          <w:spacing w:val="-13"/>
          <w:sz w:val="15"/>
        </w:rPr>
        <w:t> </w:t>
      </w:r>
      <w:r>
        <w:rPr>
          <w:color w:val="231F20"/>
          <w:sz w:val="15"/>
        </w:rPr>
        <w:t>in</w:t>
      </w:r>
      <w:r>
        <w:rPr>
          <w:color w:val="231F20"/>
          <w:spacing w:val="-12"/>
          <w:sz w:val="15"/>
        </w:rPr>
        <w:t> </w:t>
      </w:r>
      <w:r>
        <w:rPr>
          <w:color w:val="231F20"/>
          <w:sz w:val="15"/>
        </w:rPr>
        <w:t>Darfur— brieﬁng paper’, 6 June 2008,</w:t>
      </w:r>
      <w:r>
        <w:rPr>
          <w:color w:val="231F20"/>
          <w:spacing w:val="-28"/>
          <w:sz w:val="15"/>
        </w:rPr>
        <w:t> </w:t>
      </w:r>
      <w:hyperlink r:id="rId19">
        <w:r>
          <w:rPr>
            <w:color w:val="231F20"/>
            <w:sz w:val="15"/>
          </w:rPr>
          <w:t>&lt;http://www.savedarfur.org/pages/background/&gt;.</w:t>
        </w:r>
      </w:hyperlink>
    </w:p>
    <w:p>
      <w:pPr>
        <w:pStyle w:val="ListParagraph"/>
        <w:numPr>
          <w:ilvl w:val="0"/>
          <w:numId w:val="2"/>
        </w:numPr>
        <w:tabs>
          <w:tab w:pos="440" w:val="left" w:leader="none"/>
        </w:tabs>
        <w:spacing w:line="213" w:lineRule="auto" w:before="0" w:after="0"/>
        <w:ind w:left="100" w:right="120" w:firstLine="182"/>
        <w:jc w:val="both"/>
        <w:rPr>
          <w:sz w:val="15"/>
        </w:rPr>
      </w:pPr>
      <w:r>
        <w:rPr>
          <w:color w:val="231F20"/>
          <w:w w:val="105"/>
          <w:sz w:val="15"/>
        </w:rPr>
        <w:t>Internal Displacement Monitoring Centre (IDMC), </w:t>
      </w:r>
      <w:r>
        <w:rPr>
          <w:i/>
          <w:color w:val="231F20"/>
          <w:w w:val="105"/>
          <w:sz w:val="15"/>
        </w:rPr>
        <w:t>Democratic Republic of the Congo: </w:t>
      </w:r>
      <w:r>
        <w:rPr>
          <w:i/>
          <w:color w:val="231F20"/>
          <w:w w:val="105"/>
          <w:sz w:val="15"/>
        </w:rPr>
        <w:t>Escalating</w:t>
      </w:r>
      <w:r>
        <w:rPr>
          <w:i/>
          <w:color w:val="231F20"/>
          <w:spacing w:val="-8"/>
          <w:w w:val="105"/>
          <w:sz w:val="15"/>
        </w:rPr>
        <w:t> </w:t>
      </w:r>
      <w:r>
        <w:rPr>
          <w:i/>
          <w:color w:val="231F20"/>
          <w:w w:val="105"/>
          <w:sz w:val="15"/>
        </w:rPr>
        <w:t>Displacement</w:t>
      </w:r>
      <w:r>
        <w:rPr>
          <w:i/>
          <w:color w:val="231F20"/>
          <w:spacing w:val="-8"/>
          <w:w w:val="105"/>
          <w:sz w:val="15"/>
        </w:rPr>
        <w:t> </w:t>
      </w:r>
      <w:r>
        <w:rPr>
          <w:i/>
          <w:color w:val="231F20"/>
          <w:w w:val="105"/>
          <w:sz w:val="15"/>
        </w:rPr>
        <w:t>in</w:t>
      </w:r>
      <w:r>
        <w:rPr>
          <w:i/>
          <w:color w:val="231F20"/>
          <w:spacing w:val="-7"/>
          <w:w w:val="105"/>
          <w:sz w:val="15"/>
        </w:rPr>
        <w:t> </w:t>
      </w:r>
      <w:r>
        <w:rPr>
          <w:i/>
          <w:color w:val="231F20"/>
          <w:w w:val="105"/>
          <w:sz w:val="15"/>
        </w:rPr>
        <w:t>North</w:t>
      </w:r>
      <w:r>
        <w:rPr>
          <w:i/>
          <w:color w:val="231F20"/>
          <w:spacing w:val="-8"/>
          <w:w w:val="105"/>
          <w:sz w:val="15"/>
        </w:rPr>
        <w:t> </w:t>
      </w:r>
      <w:r>
        <w:rPr>
          <w:i/>
          <w:color w:val="231F20"/>
          <w:w w:val="105"/>
          <w:sz w:val="15"/>
        </w:rPr>
        <w:t>Kivu</w:t>
      </w:r>
      <w:r>
        <w:rPr>
          <w:i/>
          <w:color w:val="231F20"/>
          <w:spacing w:val="-7"/>
          <w:w w:val="105"/>
          <w:sz w:val="15"/>
        </w:rPr>
        <w:t> </w:t>
      </w:r>
      <w:r>
        <w:rPr>
          <w:i/>
          <w:color w:val="231F20"/>
          <w:w w:val="105"/>
          <w:sz w:val="15"/>
        </w:rPr>
        <w:t>Despite</w:t>
      </w:r>
      <w:r>
        <w:rPr>
          <w:i/>
          <w:color w:val="231F20"/>
          <w:spacing w:val="-8"/>
          <w:w w:val="105"/>
          <w:sz w:val="15"/>
        </w:rPr>
        <w:t> </w:t>
      </w:r>
      <w:r>
        <w:rPr>
          <w:i/>
          <w:color w:val="231F20"/>
          <w:w w:val="105"/>
          <w:sz w:val="15"/>
        </w:rPr>
        <w:t>Ceaseﬁre</w:t>
      </w:r>
      <w:r>
        <w:rPr>
          <w:i/>
          <w:color w:val="231F20"/>
          <w:spacing w:val="-7"/>
          <w:w w:val="105"/>
          <w:sz w:val="15"/>
        </w:rPr>
        <w:t> </w:t>
      </w:r>
      <w:r>
        <w:rPr>
          <w:i/>
          <w:color w:val="231F20"/>
          <w:w w:val="105"/>
          <w:sz w:val="15"/>
        </w:rPr>
        <w:t>Agreement</w:t>
      </w:r>
      <w:r>
        <w:rPr>
          <w:i/>
          <w:color w:val="231F20"/>
          <w:spacing w:val="-8"/>
          <w:w w:val="105"/>
          <w:sz w:val="15"/>
        </w:rPr>
        <w:t> </w:t>
      </w:r>
      <w:r>
        <w:rPr>
          <w:color w:val="231F20"/>
          <w:w w:val="105"/>
          <w:sz w:val="15"/>
        </w:rPr>
        <w:t>(IDMC:</w:t>
      </w:r>
      <w:r>
        <w:rPr>
          <w:color w:val="231F20"/>
          <w:spacing w:val="-7"/>
          <w:w w:val="105"/>
          <w:sz w:val="15"/>
        </w:rPr>
        <w:t> </w:t>
      </w:r>
      <w:r>
        <w:rPr>
          <w:color w:val="231F20"/>
          <w:w w:val="105"/>
          <w:sz w:val="15"/>
        </w:rPr>
        <w:t>Geneva,</w:t>
      </w:r>
      <w:r>
        <w:rPr>
          <w:color w:val="231F20"/>
          <w:spacing w:val="-8"/>
          <w:w w:val="105"/>
          <w:sz w:val="15"/>
        </w:rPr>
        <w:t> </w:t>
      </w:r>
      <w:r>
        <w:rPr>
          <w:color w:val="231F20"/>
          <w:w w:val="105"/>
          <w:sz w:val="15"/>
        </w:rPr>
        <w:t>30</w:t>
      </w:r>
      <w:r>
        <w:rPr>
          <w:color w:val="231F20"/>
          <w:spacing w:val="-7"/>
          <w:w w:val="105"/>
          <w:sz w:val="15"/>
        </w:rPr>
        <w:t> </w:t>
      </w:r>
      <w:r>
        <w:rPr>
          <w:color w:val="231F20"/>
          <w:w w:val="105"/>
          <w:sz w:val="15"/>
        </w:rPr>
        <w:t>Sep.</w:t>
      </w:r>
      <w:r>
        <w:rPr>
          <w:color w:val="231F20"/>
          <w:spacing w:val="-8"/>
          <w:w w:val="105"/>
          <w:sz w:val="15"/>
        </w:rPr>
        <w:t> </w:t>
      </w:r>
      <w:r>
        <w:rPr>
          <w:color w:val="231F20"/>
          <w:w w:val="105"/>
          <w:sz w:val="15"/>
        </w:rPr>
        <w:t>2008); and IDMC, </w:t>
      </w:r>
      <w:r>
        <w:rPr>
          <w:i/>
          <w:color w:val="231F20"/>
          <w:w w:val="105"/>
          <w:sz w:val="15"/>
        </w:rPr>
        <w:t>Focus on North Kivu Province: IDPs on the Move Face Grave Human Rights Violations </w:t>
      </w:r>
      <w:r>
        <w:rPr>
          <w:color w:val="231F20"/>
          <w:w w:val="105"/>
          <w:sz w:val="15"/>
        </w:rPr>
        <w:t>(IDMC: Geneva, 21 Nov.</w:t>
      </w:r>
      <w:r>
        <w:rPr>
          <w:color w:val="231F20"/>
          <w:spacing w:val="-28"/>
          <w:w w:val="105"/>
          <w:sz w:val="15"/>
        </w:rPr>
        <w:t> </w:t>
      </w:r>
      <w:r>
        <w:rPr>
          <w:color w:val="231F20"/>
          <w:w w:val="105"/>
          <w:sz w:val="15"/>
        </w:rPr>
        <w:t>2008).</w:t>
      </w:r>
    </w:p>
    <w:p>
      <w:pPr>
        <w:pStyle w:val="ListParagraph"/>
        <w:numPr>
          <w:ilvl w:val="0"/>
          <w:numId w:val="2"/>
        </w:numPr>
        <w:tabs>
          <w:tab w:pos="440" w:val="left" w:leader="none"/>
        </w:tabs>
        <w:spacing w:line="175" w:lineRule="exact" w:before="0" w:after="0"/>
        <w:ind w:left="439" w:right="0" w:hanging="157"/>
        <w:jc w:val="both"/>
        <w:rPr>
          <w:sz w:val="15"/>
        </w:rPr>
      </w:pPr>
      <w:r>
        <w:rPr>
          <w:color w:val="231F20"/>
          <w:sz w:val="15"/>
        </w:rPr>
        <w:t>See</w:t>
      </w:r>
      <w:r>
        <w:rPr>
          <w:color w:val="231F20"/>
          <w:spacing w:val="-8"/>
          <w:sz w:val="15"/>
        </w:rPr>
        <w:t> </w:t>
      </w:r>
      <w:r>
        <w:rPr>
          <w:color w:val="231F20"/>
          <w:sz w:val="15"/>
        </w:rPr>
        <w:t>Gettleman,</w:t>
      </w:r>
      <w:r>
        <w:rPr>
          <w:color w:val="231F20"/>
          <w:spacing w:val="-7"/>
          <w:sz w:val="15"/>
        </w:rPr>
        <w:t> </w:t>
      </w:r>
      <w:r>
        <w:rPr>
          <w:color w:val="231F20"/>
          <w:sz w:val="15"/>
        </w:rPr>
        <w:t>J.,</w:t>
      </w:r>
      <w:r>
        <w:rPr>
          <w:color w:val="231F20"/>
          <w:spacing w:val="-8"/>
          <w:sz w:val="15"/>
        </w:rPr>
        <w:t> </w:t>
      </w:r>
      <w:r>
        <w:rPr>
          <w:color w:val="231F20"/>
          <w:sz w:val="15"/>
        </w:rPr>
        <w:t>‘Rape</w:t>
      </w:r>
      <w:r>
        <w:rPr>
          <w:color w:val="231F20"/>
          <w:spacing w:val="-7"/>
          <w:sz w:val="15"/>
        </w:rPr>
        <w:t> </w:t>
      </w:r>
      <w:r>
        <w:rPr>
          <w:color w:val="231F20"/>
          <w:sz w:val="15"/>
        </w:rPr>
        <w:t>victims</w:t>
      </w:r>
      <w:r>
        <w:rPr>
          <w:color w:val="231F20"/>
          <w:spacing w:val="-8"/>
          <w:sz w:val="15"/>
        </w:rPr>
        <w:t> </w:t>
      </w:r>
      <w:r>
        <w:rPr>
          <w:color w:val="231F20"/>
          <w:sz w:val="15"/>
        </w:rPr>
        <w:t>words</w:t>
      </w:r>
      <w:r>
        <w:rPr>
          <w:color w:val="231F20"/>
          <w:spacing w:val="-7"/>
          <w:sz w:val="15"/>
        </w:rPr>
        <w:t> </w:t>
      </w:r>
      <w:r>
        <w:rPr>
          <w:color w:val="231F20"/>
          <w:sz w:val="15"/>
        </w:rPr>
        <w:t>jolt</w:t>
      </w:r>
      <w:r>
        <w:rPr>
          <w:color w:val="231F20"/>
          <w:spacing w:val="-8"/>
          <w:sz w:val="15"/>
        </w:rPr>
        <w:t> </w:t>
      </w:r>
      <w:r>
        <w:rPr>
          <w:color w:val="231F20"/>
          <w:sz w:val="15"/>
        </w:rPr>
        <w:t>Congo</w:t>
      </w:r>
      <w:r>
        <w:rPr>
          <w:color w:val="231F20"/>
          <w:spacing w:val="-7"/>
          <w:sz w:val="15"/>
        </w:rPr>
        <w:t> </w:t>
      </w:r>
      <w:r>
        <w:rPr>
          <w:color w:val="231F20"/>
          <w:sz w:val="15"/>
        </w:rPr>
        <w:t>into</w:t>
      </w:r>
      <w:r>
        <w:rPr>
          <w:color w:val="231F20"/>
          <w:spacing w:val="-8"/>
          <w:sz w:val="15"/>
        </w:rPr>
        <w:t> </w:t>
      </w:r>
      <w:r>
        <w:rPr>
          <w:color w:val="231F20"/>
          <w:sz w:val="15"/>
        </w:rPr>
        <w:t>change’,</w:t>
      </w:r>
      <w:r>
        <w:rPr>
          <w:color w:val="231F20"/>
          <w:spacing w:val="-7"/>
          <w:sz w:val="15"/>
        </w:rPr>
        <w:t> </w:t>
      </w:r>
      <w:r>
        <w:rPr>
          <w:i/>
          <w:color w:val="231F20"/>
          <w:sz w:val="15"/>
        </w:rPr>
        <w:t>New</w:t>
      </w:r>
      <w:r>
        <w:rPr>
          <w:i/>
          <w:color w:val="231F20"/>
          <w:spacing w:val="-7"/>
          <w:sz w:val="15"/>
        </w:rPr>
        <w:t> </w:t>
      </w:r>
      <w:r>
        <w:rPr>
          <w:i/>
          <w:color w:val="231F20"/>
          <w:sz w:val="15"/>
        </w:rPr>
        <w:t>York</w:t>
      </w:r>
      <w:r>
        <w:rPr>
          <w:i/>
          <w:color w:val="231F20"/>
          <w:spacing w:val="-8"/>
          <w:sz w:val="15"/>
        </w:rPr>
        <w:t> </w:t>
      </w:r>
      <w:r>
        <w:rPr>
          <w:i/>
          <w:color w:val="231F20"/>
          <w:sz w:val="15"/>
        </w:rPr>
        <w:t>Times</w:t>
      </w:r>
      <w:r>
        <w:rPr>
          <w:color w:val="231F20"/>
          <w:sz w:val="15"/>
        </w:rPr>
        <w:t>,</w:t>
      </w:r>
      <w:r>
        <w:rPr>
          <w:color w:val="231F20"/>
          <w:spacing w:val="-8"/>
          <w:sz w:val="15"/>
        </w:rPr>
        <w:t> </w:t>
      </w:r>
      <w:r>
        <w:rPr>
          <w:color w:val="231F20"/>
          <w:sz w:val="15"/>
        </w:rPr>
        <w:t>18</w:t>
      </w:r>
      <w:r>
        <w:rPr>
          <w:color w:val="231F20"/>
          <w:spacing w:val="-8"/>
          <w:sz w:val="15"/>
        </w:rPr>
        <w:t> </w:t>
      </w:r>
      <w:r>
        <w:rPr>
          <w:color w:val="231F20"/>
          <w:sz w:val="15"/>
        </w:rPr>
        <w:t>Oct.</w:t>
      </w:r>
      <w:r>
        <w:rPr>
          <w:color w:val="231F20"/>
          <w:spacing w:val="-9"/>
          <w:sz w:val="15"/>
        </w:rPr>
        <w:t> </w:t>
      </w:r>
      <w:r>
        <w:rPr>
          <w:color w:val="231F20"/>
          <w:sz w:val="15"/>
        </w:rPr>
        <w:t>2008.</w:t>
      </w:r>
    </w:p>
    <w:p>
      <w:pPr>
        <w:pStyle w:val="ListParagraph"/>
        <w:numPr>
          <w:ilvl w:val="0"/>
          <w:numId w:val="2"/>
        </w:numPr>
        <w:tabs>
          <w:tab w:pos="440" w:val="left" w:leader="none"/>
        </w:tabs>
        <w:spacing w:line="211" w:lineRule="auto" w:before="8" w:after="0"/>
        <w:ind w:left="100" w:right="123" w:firstLine="182"/>
        <w:jc w:val="both"/>
        <w:rPr>
          <w:sz w:val="15"/>
        </w:rPr>
      </w:pPr>
      <w:r>
        <w:rPr>
          <w:color w:val="231F20"/>
          <w:sz w:val="15"/>
        </w:rPr>
        <w:t>See Dallman, A., ‘Prosecuting sexual violence at the International Criminal Court’, SIPRI Insights</w:t>
      </w:r>
      <w:r>
        <w:rPr>
          <w:color w:val="231F20"/>
          <w:spacing w:val="-5"/>
          <w:sz w:val="15"/>
        </w:rPr>
        <w:t> </w:t>
      </w:r>
      <w:r>
        <w:rPr>
          <w:color w:val="231F20"/>
          <w:sz w:val="15"/>
        </w:rPr>
        <w:t>on</w:t>
      </w:r>
      <w:r>
        <w:rPr>
          <w:color w:val="231F20"/>
          <w:spacing w:val="-4"/>
          <w:sz w:val="15"/>
        </w:rPr>
        <w:t> </w:t>
      </w:r>
      <w:r>
        <w:rPr>
          <w:color w:val="231F20"/>
          <w:sz w:val="15"/>
        </w:rPr>
        <w:t>Peace</w:t>
      </w:r>
      <w:r>
        <w:rPr>
          <w:color w:val="231F20"/>
          <w:spacing w:val="-5"/>
          <w:sz w:val="15"/>
        </w:rPr>
        <w:t> </w:t>
      </w:r>
      <w:r>
        <w:rPr>
          <w:color w:val="231F20"/>
          <w:sz w:val="15"/>
        </w:rPr>
        <w:t>and</w:t>
      </w:r>
      <w:r>
        <w:rPr>
          <w:color w:val="231F20"/>
          <w:spacing w:val="-4"/>
          <w:sz w:val="15"/>
        </w:rPr>
        <w:t> </w:t>
      </w:r>
      <w:r>
        <w:rPr>
          <w:color w:val="231F20"/>
          <w:sz w:val="15"/>
        </w:rPr>
        <w:t>Security</w:t>
      </w:r>
      <w:r>
        <w:rPr>
          <w:color w:val="231F20"/>
          <w:spacing w:val="-5"/>
          <w:sz w:val="15"/>
        </w:rPr>
        <w:t> </w:t>
      </w:r>
      <w:r>
        <w:rPr>
          <w:color w:val="231F20"/>
          <w:sz w:val="15"/>
        </w:rPr>
        <w:t>no.</w:t>
      </w:r>
      <w:r>
        <w:rPr>
          <w:color w:val="231F20"/>
          <w:spacing w:val="-4"/>
          <w:sz w:val="15"/>
        </w:rPr>
        <w:t> </w:t>
      </w:r>
      <w:r>
        <w:rPr>
          <w:color w:val="231F20"/>
          <w:sz w:val="15"/>
        </w:rPr>
        <w:t>2009/1,</w:t>
      </w:r>
      <w:r>
        <w:rPr>
          <w:color w:val="231F20"/>
          <w:spacing w:val="-5"/>
          <w:sz w:val="15"/>
        </w:rPr>
        <w:t> </w:t>
      </w:r>
      <w:r>
        <w:rPr>
          <w:color w:val="231F20"/>
          <w:sz w:val="15"/>
        </w:rPr>
        <w:t>May</w:t>
      </w:r>
      <w:r>
        <w:rPr>
          <w:color w:val="231F20"/>
          <w:spacing w:val="-4"/>
          <w:sz w:val="15"/>
        </w:rPr>
        <w:t> </w:t>
      </w:r>
      <w:r>
        <w:rPr>
          <w:color w:val="231F20"/>
          <w:sz w:val="15"/>
        </w:rPr>
        <w:t>2009,</w:t>
      </w:r>
      <w:r>
        <w:rPr>
          <w:color w:val="231F20"/>
          <w:spacing w:val="-5"/>
          <w:sz w:val="15"/>
        </w:rPr>
        <w:t> </w:t>
      </w:r>
      <w:hyperlink r:id="rId20">
        <w:r>
          <w:rPr>
            <w:color w:val="231F20"/>
            <w:sz w:val="15"/>
          </w:rPr>
          <w:t>&lt;http://books.sipri.org/&gt;.</w:t>
        </w:r>
      </w:hyperlink>
    </w:p>
    <w:p>
      <w:pPr>
        <w:pStyle w:val="ListParagraph"/>
        <w:numPr>
          <w:ilvl w:val="0"/>
          <w:numId w:val="2"/>
        </w:numPr>
        <w:tabs>
          <w:tab w:pos="440" w:val="left" w:leader="none"/>
        </w:tabs>
        <w:spacing w:line="187" w:lineRule="exact" w:before="0" w:after="0"/>
        <w:ind w:left="439" w:right="0" w:hanging="157"/>
        <w:jc w:val="both"/>
        <w:rPr>
          <w:sz w:val="15"/>
        </w:rPr>
      </w:pPr>
      <w:r>
        <w:rPr>
          <w:color w:val="231F20"/>
          <w:sz w:val="15"/>
        </w:rPr>
        <w:t>Cohen and Deng (note 7), p.</w:t>
      </w:r>
      <w:r>
        <w:rPr>
          <w:color w:val="231F20"/>
          <w:spacing w:val="-27"/>
          <w:sz w:val="15"/>
        </w:rPr>
        <w:t> </w:t>
      </w:r>
      <w:r>
        <w:rPr>
          <w:color w:val="231F20"/>
          <w:sz w:val="15"/>
        </w:rPr>
        <w:t>4.</w:t>
      </w:r>
    </w:p>
    <w:p>
      <w:pPr>
        <w:spacing w:after="0" w:line="187" w:lineRule="exact"/>
        <w:jc w:val="both"/>
        <w:rPr>
          <w:sz w:val="15"/>
        </w:rPr>
        <w:sectPr>
          <w:pgSz w:w="8850" w:h="13270"/>
          <w:pgMar w:header="793" w:footer="0" w:top="1080" w:bottom="280" w:left="1080" w:right="1060"/>
        </w:sectPr>
      </w:pPr>
    </w:p>
    <w:p>
      <w:pPr>
        <w:pStyle w:val="BodyText"/>
        <w:spacing w:line="278" w:lineRule="auto" w:before="141"/>
        <w:ind w:left="101" w:right="117"/>
      </w:pPr>
      <w:bookmarkStart w:name="International protection regimes for ref" w:id="7"/>
      <w:bookmarkEnd w:id="7"/>
      <w:r>
        <w:rPr/>
      </w:r>
      <w:r>
        <w:rPr>
          <w:color w:val="231F20"/>
        </w:rPr>
        <w:t>war brought into view millions of people uprooted by  civil  wars  and  internal strife who had been previously inaccessible. Some had been caught up in proxy wars waged by the two superpowers while others became dis- placed by civil conﬂicts that erupted as the major powers withdrew their support from client states. The demise of the Soviet Union also  brought ﬁerce struggles over political and territorial ascendancy and mass displace- ment into Central and Eastern Europe and Central</w:t>
      </w:r>
      <w:r>
        <w:rPr>
          <w:color w:val="231F20"/>
          <w:spacing w:val="6"/>
        </w:rPr>
        <w:t> </w:t>
      </w:r>
      <w:r>
        <w:rPr>
          <w:color w:val="231F20"/>
        </w:rPr>
        <w:t>Asia.</w:t>
      </w:r>
    </w:p>
    <w:p>
      <w:pPr>
        <w:pStyle w:val="BodyText"/>
        <w:spacing w:line="278" w:lineRule="auto"/>
        <w:ind w:left="101" w:right="119" w:firstLine="180"/>
      </w:pPr>
      <w:r>
        <w:rPr>
          <w:color w:val="231F20"/>
        </w:rPr>
        <w:t>However, there was no international regime to protect them. While refu- gees beneﬁted from an established international system of protection, such arrangements did not extend to IDPs, even though both groups shared the trauma of dislocation and the urgent protection and assistance needs accompanying displacement.</w:t>
      </w:r>
    </w:p>
    <w:p>
      <w:pPr>
        <w:pStyle w:val="BodyText"/>
        <w:spacing w:before="9"/>
        <w:ind w:left="0"/>
        <w:jc w:val="left"/>
        <w:rPr>
          <w:sz w:val="26"/>
        </w:rPr>
      </w:pPr>
    </w:p>
    <w:p>
      <w:pPr>
        <w:pStyle w:val="Heading2"/>
        <w:ind w:right="835"/>
        <w:jc w:val="left"/>
      </w:pPr>
      <w:r>
        <w:rPr>
          <w:color w:val="231F20"/>
          <w:w w:val="105"/>
        </w:rPr>
        <w:t>International protection regimes for refugees and internally displaced persons</w:t>
      </w:r>
    </w:p>
    <w:p>
      <w:pPr>
        <w:pStyle w:val="BodyText"/>
        <w:spacing w:line="278" w:lineRule="auto" w:before="175"/>
        <w:ind w:right="117"/>
      </w:pPr>
      <w:r>
        <w:rPr>
          <w:color w:val="231F20"/>
        </w:rPr>
        <w:t>Since refugees are unable to avail themselves of the protection of their own governments, the 1951 Refugee Convention, a binding international treaty, provided them with substitute legal protection and a special international agency, the UN High Commissioner for Refugees (UNHCR), to  cater  to  their needs.</w:t>
      </w:r>
      <w:r>
        <w:rPr>
          <w:rFonts w:ascii="Adobe Jenson Pro Lt Capt" w:hAnsi="Adobe Jenson Pro Lt Capt"/>
          <w:b w:val="0"/>
          <w:color w:val="231F20"/>
          <w:position w:val="6"/>
          <w:sz w:val="12"/>
        </w:rPr>
        <w:t>39 </w:t>
      </w:r>
      <w:r>
        <w:rPr>
          <w:color w:val="231F20"/>
        </w:rPr>
        <w:t>In contrast, IDPs are in their own country and must look to their governments for protection and assistance. Since these are often lack- ing because of incapacity or unwillingness, the international  community  over the past two decades began to recognize that IDPs also need a form of international protection. The Guiding Principles on Internal Displacement were developed for that purpose and presented to the UN in 1998 by the  then Representative of the UN Secretary-General on IDPs,  Francis  M.  Deng. The principles are not, however, a legally binding instrument, even though they have acquired considerable authority and are being increas- ingly</w:t>
      </w:r>
      <w:r>
        <w:rPr>
          <w:color w:val="231F20"/>
          <w:spacing w:val="25"/>
        </w:rPr>
        <w:t> </w:t>
      </w:r>
      <w:r>
        <w:rPr>
          <w:color w:val="231F20"/>
        </w:rPr>
        <w:t>incorporated</w:t>
      </w:r>
      <w:r>
        <w:rPr>
          <w:color w:val="231F20"/>
          <w:spacing w:val="26"/>
        </w:rPr>
        <w:t> </w:t>
      </w:r>
      <w:r>
        <w:rPr>
          <w:color w:val="231F20"/>
        </w:rPr>
        <w:t>into</w:t>
      </w:r>
      <w:r>
        <w:rPr>
          <w:color w:val="231F20"/>
          <w:spacing w:val="25"/>
        </w:rPr>
        <w:t> </w:t>
      </w:r>
      <w:r>
        <w:rPr>
          <w:color w:val="231F20"/>
        </w:rPr>
        <w:t>national</w:t>
      </w:r>
      <w:r>
        <w:rPr>
          <w:color w:val="231F20"/>
          <w:spacing w:val="26"/>
        </w:rPr>
        <w:t> </w:t>
      </w:r>
      <w:r>
        <w:rPr>
          <w:color w:val="231F20"/>
        </w:rPr>
        <w:t>legislation.</w:t>
      </w:r>
      <w:r>
        <w:rPr>
          <w:rFonts w:ascii="Adobe Jenson Pro Lt Capt" w:hAnsi="Adobe Jenson Pro Lt Capt"/>
          <w:b w:val="0"/>
          <w:color w:val="231F20"/>
          <w:position w:val="6"/>
          <w:sz w:val="12"/>
        </w:rPr>
        <w:t>40 </w:t>
      </w:r>
      <w:r>
        <w:rPr>
          <w:color w:val="231F20"/>
        </w:rPr>
        <w:t>Nor</w:t>
      </w:r>
      <w:r>
        <w:rPr>
          <w:color w:val="231F20"/>
          <w:spacing w:val="26"/>
        </w:rPr>
        <w:t> </w:t>
      </w:r>
      <w:r>
        <w:rPr>
          <w:color w:val="231F20"/>
        </w:rPr>
        <w:t>is</w:t>
      </w:r>
      <w:r>
        <w:rPr>
          <w:color w:val="231F20"/>
          <w:spacing w:val="25"/>
        </w:rPr>
        <w:t> </w:t>
      </w:r>
      <w:r>
        <w:rPr>
          <w:color w:val="231F20"/>
        </w:rPr>
        <w:t>there</w:t>
      </w:r>
      <w:r>
        <w:rPr>
          <w:color w:val="231F20"/>
          <w:spacing w:val="26"/>
        </w:rPr>
        <w:t> </w:t>
      </w:r>
      <w:r>
        <w:rPr>
          <w:color w:val="231F20"/>
        </w:rPr>
        <w:t>any</w:t>
      </w:r>
      <w:r>
        <w:rPr>
          <w:color w:val="231F20"/>
          <w:spacing w:val="25"/>
        </w:rPr>
        <w:t> </w:t>
      </w:r>
      <w:r>
        <w:rPr>
          <w:color w:val="231F20"/>
        </w:rPr>
        <w:t>speciﬁc</w:t>
      </w:r>
    </w:p>
    <w:p>
      <w:pPr>
        <w:pStyle w:val="ListParagraph"/>
        <w:numPr>
          <w:ilvl w:val="0"/>
          <w:numId w:val="2"/>
        </w:numPr>
        <w:tabs>
          <w:tab w:pos="440" w:val="left" w:leader="none"/>
        </w:tabs>
        <w:spacing w:line="213" w:lineRule="auto" w:before="162" w:after="0"/>
        <w:ind w:left="100" w:right="119" w:firstLine="182"/>
        <w:jc w:val="both"/>
        <w:rPr>
          <w:sz w:val="15"/>
        </w:rPr>
      </w:pPr>
      <w:r>
        <w:rPr>
          <w:color w:val="231F20"/>
          <w:sz w:val="15"/>
        </w:rPr>
        <w:t>The</w:t>
      </w:r>
      <w:r>
        <w:rPr>
          <w:color w:val="231F20"/>
          <w:spacing w:val="-13"/>
          <w:sz w:val="15"/>
        </w:rPr>
        <w:t> </w:t>
      </w:r>
      <w:r>
        <w:rPr>
          <w:color w:val="231F20"/>
          <w:sz w:val="15"/>
        </w:rPr>
        <w:t>1951</w:t>
      </w:r>
      <w:r>
        <w:rPr>
          <w:color w:val="231F20"/>
          <w:spacing w:val="-12"/>
          <w:sz w:val="15"/>
        </w:rPr>
        <w:t> </w:t>
      </w:r>
      <w:r>
        <w:rPr>
          <w:color w:val="231F20"/>
          <w:sz w:val="15"/>
        </w:rPr>
        <w:t>Convention</w:t>
      </w:r>
      <w:r>
        <w:rPr>
          <w:color w:val="231F20"/>
          <w:spacing w:val="-12"/>
          <w:sz w:val="15"/>
        </w:rPr>
        <w:t> </w:t>
      </w:r>
      <w:r>
        <w:rPr>
          <w:color w:val="231F20"/>
          <w:sz w:val="15"/>
        </w:rPr>
        <w:t>Relating</w:t>
      </w:r>
      <w:r>
        <w:rPr>
          <w:color w:val="231F20"/>
          <w:spacing w:val="-12"/>
          <w:sz w:val="15"/>
        </w:rPr>
        <w:t> </w:t>
      </w:r>
      <w:r>
        <w:rPr>
          <w:color w:val="231F20"/>
          <w:sz w:val="15"/>
        </w:rPr>
        <w:t>to</w:t>
      </w:r>
      <w:r>
        <w:rPr>
          <w:color w:val="231F20"/>
          <w:spacing w:val="-12"/>
          <w:sz w:val="15"/>
        </w:rPr>
        <w:t> </w:t>
      </w:r>
      <w:r>
        <w:rPr>
          <w:color w:val="231F20"/>
          <w:sz w:val="15"/>
        </w:rPr>
        <w:t>the</w:t>
      </w:r>
      <w:r>
        <w:rPr>
          <w:color w:val="231F20"/>
          <w:spacing w:val="-12"/>
          <w:sz w:val="15"/>
        </w:rPr>
        <w:t> </w:t>
      </w:r>
      <w:r>
        <w:rPr>
          <w:color w:val="231F20"/>
          <w:sz w:val="15"/>
        </w:rPr>
        <w:t>Status</w:t>
      </w:r>
      <w:r>
        <w:rPr>
          <w:color w:val="231F20"/>
          <w:spacing w:val="-12"/>
          <w:sz w:val="15"/>
        </w:rPr>
        <w:t> </w:t>
      </w:r>
      <w:r>
        <w:rPr>
          <w:color w:val="231F20"/>
          <w:sz w:val="15"/>
        </w:rPr>
        <w:t>of</w:t>
      </w:r>
      <w:r>
        <w:rPr>
          <w:color w:val="231F20"/>
          <w:spacing w:val="-12"/>
          <w:sz w:val="15"/>
        </w:rPr>
        <w:t> </w:t>
      </w:r>
      <w:r>
        <w:rPr>
          <w:color w:val="231F20"/>
          <w:sz w:val="15"/>
        </w:rPr>
        <w:t>Refugees</w:t>
      </w:r>
      <w:r>
        <w:rPr>
          <w:color w:val="231F20"/>
          <w:spacing w:val="-12"/>
          <w:sz w:val="15"/>
        </w:rPr>
        <w:t> </w:t>
      </w:r>
      <w:r>
        <w:rPr>
          <w:color w:val="231F20"/>
          <w:sz w:val="15"/>
        </w:rPr>
        <w:t>was</w:t>
      </w:r>
      <w:r>
        <w:rPr>
          <w:color w:val="231F20"/>
          <w:spacing w:val="-13"/>
          <w:sz w:val="15"/>
        </w:rPr>
        <w:t> </w:t>
      </w:r>
      <w:r>
        <w:rPr>
          <w:color w:val="231F20"/>
          <w:sz w:val="15"/>
        </w:rPr>
        <w:t>adopted</w:t>
      </w:r>
      <w:r>
        <w:rPr>
          <w:color w:val="231F20"/>
          <w:spacing w:val="-12"/>
          <w:sz w:val="15"/>
        </w:rPr>
        <w:t> </w:t>
      </w:r>
      <w:r>
        <w:rPr>
          <w:color w:val="231F20"/>
          <w:sz w:val="15"/>
        </w:rPr>
        <w:t>on</w:t>
      </w:r>
      <w:r>
        <w:rPr>
          <w:color w:val="231F20"/>
          <w:spacing w:val="-12"/>
          <w:sz w:val="15"/>
        </w:rPr>
        <w:t> </w:t>
      </w:r>
      <w:r>
        <w:rPr>
          <w:color w:val="231F20"/>
          <w:sz w:val="15"/>
        </w:rPr>
        <w:t>28</w:t>
      </w:r>
      <w:r>
        <w:rPr>
          <w:color w:val="231F20"/>
          <w:spacing w:val="-12"/>
          <w:sz w:val="15"/>
        </w:rPr>
        <w:t> </w:t>
      </w:r>
      <w:r>
        <w:rPr>
          <w:color w:val="231F20"/>
          <w:sz w:val="15"/>
        </w:rPr>
        <w:t>July</w:t>
      </w:r>
      <w:r>
        <w:rPr>
          <w:color w:val="231F20"/>
          <w:spacing w:val="-12"/>
          <w:sz w:val="15"/>
        </w:rPr>
        <w:t> </w:t>
      </w:r>
      <w:r>
        <w:rPr>
          <w:color w:val="231F20"/>
          <w:sz w:val="15"/>
        </w:rPr>
        <w:t>1951</w:t>
      </w:r>
      <w:r>
        <w:rPr>
          <w:color w:val="231F20"/>
          <w:spacing w:val="-12"/>
          <w:sz w:val="15"/>
        </w:rPr>
        <w:t> </w:t>
      </w:r>
      <w:r>
        <w:rPr>
          <w:color w:val="231F20"/>
          <w:sz w:val="15"/>
        </w:rPr>
        <w:t>by</w:t>
      </w:r>
      <w:r>
        <w:rPr>
          <w:color w:val="231F20"/>
          <w:spacing w:val="-12"/>
          <w:sz w:val="15"/>
        </w:rPr>
        <w:t> </w:t>
      </w:r>
      <w:r>
        <w:rPr>
          <w:color w:val="231F20"/>
          <w:sz w:val="15"/>
        </w:rPr>
        <w:t>the</w:t>
      </w:r>
      <w:r>
        <w:rPr>
          <w:color w:val="231F20"/>
          <w:spacing w:val="-12"/>
          <w:sz w:val="15"/>
        </w:rPr>
        <w:t> </w:t>
      </w:r>
      <w:r>
        <w:rPr>
          <w:color w:val="231F20"/>
          <w:sz w:val="15"/>
        </w:rPr>
        <w:t>UN Conference of Plenipotentiaries on the Status of Refugees and Stateless Persons convened under General</w:t>
      </w:r>
      <w:r>
        <w:rPr>
          <w:color w:val="231F20"/>
          <w:spacing w:val="-3"/>
          <w:sz w:val="15"/>
        </w:rPr>
        <w:t> </w:t>
      </w:r>
      <w:r>
        <w:rPr>
          <w:color w:val="231F20"/>
          <w:sz w:val="15"/>
        </w:rPr>
        <w:t>Assembly</w:t>
      </w:r>
      <w:r>
        <w:rPr>
          <w:color w:val="231F20"/>
          <w:spacing w:val="-3"/>
          <w:sz w:val="15"/>
        </w:rPr>
        <w:t> </w:t>
      </w:r>
      <w:r>
        <w:rPr>
          <w:color w:val="231F20"/>
          <w:sz w:val="15"/>
        </w:rPr>
        <w:t>Resolution</w:t>
      </w:r>
      <w:r>
        <w:rPr>
          <w:color w:val="231F20"/>
          <w:spacing w:val="-3"/>
          <w:sz w:val="15"/>
        </w:rPr>
        <w:t> </w:t>
      </w:r>
      <w:r>
        <w:rPr>
          <w:color w:val="231F20"/>
          <w:sz w:val="15"/>
        </w:rPr>
        <w:t>429</w:t>
      </w:r>
      <w:r>
        <w:rPr>
          <w:color w:val="231F20"/>
          <w:spacing w:val="-3"/>
          <w:sz w:val="15"/>
        </w:rPr>
        <w:t> </w:t>
      </w:r>
      <w:r>
        <w:rPr>
          <w:color w:val="231F20"/>
          <w:sz w:val="15"/>
        </w:rPr>
        <w:t>(V)</w:t>
      </w:r>
      <w:r>
        <w:rPr>
          <w:color w:val="231F20"/>
          <w:spacing w:val="-3"/>
          <w:sz w:val="15"/>
        </w:rPr>
        <w:t> </w:t>
      </w:r>
      <w:r>
        <w:rPr>
          <w:color w:val="231F20"/>
          <w:sz w:val="15"/>
        </w:rPr>
        <w:t>of</w:t>
      </w:r>
      <w:r>
        <w:rPr>
          <w:color w:val="231F20"/>
          <w:spacing w:val="-3"/>
          <w:sz w:val="15"/>
        </w:rPr>
        <w:t> </w:t>
      </w:r>
      <w:r>
        <w:rPr>
          <w:color w:val="231F20"/>
          <w:sz w:val="15"/>
        </w:rPr>
        <w:t>14</w:t>
      </w:r>
      <w:r>
        <w:rPr>
          <w:color w:val="231F20"/>
          <w:spacing w:val="-3"/>
          <w:sz w:val="15"/>
        </w:rPr>
        <w:t> </w:t>
      </w:r>
      <w:r>
        <w:rPr>
          <w:color w:val="231F20"/>
          <w:sz w:val="15"/>
        </w:rPr>
        <w:t>December</w:t>
      </w:r>
      <w:r>
        <w:rPr>
          <w:color w:val="231F20"/>
          <w:spacing w:val="-3"/>
          <w:sz w:val="15"/>
        </w:rPr>
        <w:t> </w:t>
      </w:r>
      <w:r>
        <w:rPr>
          <w:color w:val="231F20"/>
          <w:sz w:val="15"/>
        </w:rPr>
        <w:t>1950</w:t>
      </w:r>
      <w:r>
        <w:rPr>
          <w:color w:val="231F20"/>
          <w:spacing w:val="-3"/>
          <w:sz w:val="15"/>
        </w:rPr>
        <w:t> </w:t>
      </w:r>
      <w:r>
        <w:rPr>
          <w:color w:val="231F20"/>
          <w:sz w:val="15"/>
        </w:rPr>
        <w:t>and</w:t>
      </w:r>
      <w:r>
        <w:rPr>
          <w:color w:val="231F20"/>
          <w:spacing w:val="-3"/>
          <w:sz w:val="15"/>
        </w:rPr>
        <w:t> </w:t>
      </w:r>
      <w:r>
        <w:rPr>
          <w:color w:val="231F20"/>
          <w:sz w:val="15"/>
        </w:rPr>
        <w:t>entered</w:t>
      </w:r>
      <w:r>
        <w:rPr>
          <w:color w:val="231F20"/>
          <w:spacing w:val="-3"/>
          <w:sz w:val="15"/>
        </w:rPr>
        <w:t> </w:t>
      </w:r>
      <w:r>
        <w:rPr>
          <w:color w:val="231F20"/>
          <w:sz w:val="15"/>
        </w:rPr>
        <w:t>into</w:t>
      </w:r>
      <w:r>
        <w:rPr>
          <w:color w:val="231F20"/>
          <w:spacing w:val="-3"/>
          <w:sz w:val="15"/>
        </w:rPr>
        <w:t> </w:t>
      </w:r>
      <w:r>
        <w:rPr>
          <w:color w:val="231F20"/>
          <w:sz w:val="15"/>
        </w:rPr>
        <w:t>force</w:t>
      </w:r>
      <w:r>
        <w:rPr>
          <w:color w:val="231F20"/>
          <w:spacing w:val="-3"/>
          <w:sz w:val="15"/>
        </w:rPr>
        <w:t> </w:t>
      </w:r>
      <w:r>
        <w:rPr>
          <w:color w:val="231F20"/>
          <w:sz w:val="15"/>
        </w:rPr>
        <w:t>on</w:t>
      </w:r>
      <w:r>
        <w:rPr>
          <w:color w:val="231F20"/>
          <w:spacing w:val="-3"/>
          <w:sz w:val="15"/>
        </w:rPr>
        <w:t> </w:t>
      </w:r>
      <w:r>
        <w:rPr>
          <w:color w:val="231F20"/>
          <w:sz w:val="15"/>
        </w:rPr>
        <w:t>22</w:t>
      </w:r>
      <w:r>
        <w:rPr>
          <w:color w:val="231F20"/>
          <w:spacing w:val="-3"/>
          <w:sz w:val="15"/>
        </w:rPr>
        <w:t> </w:t>
      </w:r>
      <w:r>
        <w:rPr>
          <w:color w:val="231F20"/>
          <w:sz w:val="15"/>
        </w:rPr>
        <w:t>Apr.</w:t>
      </w:r>
      <w:r>
        <w:rPr>
          <w:color w:val="231F20"/>
          <w:spacing w:val="-3"/>
          <w:sz w:val="15"/>
        </w:rPr>
        <w:t> </w:t>
      </w:r>
      <w:r>
        <w:rPr>
          <w:color w:val="231F20"/>
          <w:sz w:val="15"/>
        </w:rPr>
        <w:t>1954. The Statute of the Office of the United Nations High Commissioner for Refugees was adopted by General</w:t>
      </w:r>
      <w:r>
        <w:rPr>
          <w:color w:val="231F20"/>
          <w:spacing w:val="-5"/>
          <w:sz w:val="15"/>
        </w:rPr>
        <w:t> </w:t>
      </w:r>
      <w:r>
        <w:rPr>
          <w:color w:val="231F20"/>
          <w:sz w:val="15"/>
        </w:rPr>
        <w:t>Assembly</w:t>
      </w:r>
      <w:r>
        <w:rPr>
          <w:color w:val="231F20"/>
          <w:spacing w:val="-5"/>
          <w:sz w:val="15"/>
        </w:rPr>
        <w:t> </w:t>
      </w:r>
      <w:r>
        <w:rPr>
          <w:color w:val="231F20"/>
          <w:sz w:val="15"/>
        </w:rPr>
        <w:t>Resolution</w:t>
      </w:r>
      <w:r>
        <w:rPr>
          <w:color w:val="231F20"/>
          <w:spacing w:val="-5"/>
          <w:sz w:val="15"/>
        </w:rPr>
        <w:t> </w:t>
      </w:r>
      <w:r>
        <w:rPr>
          <w:color w:val="231F20"/>
          <w:sz w:val="15"/>
        </w:rPr>
        <w:t>428</w:t>
      </w:r>
      <w:r>
        <w:rPr>
          <w:color w:val="231F20"/>
          <w:spacing w:val="-5"/>
          <w:sz w:val="15"/>
        </w:rPr>
        <w:t> </w:t>
      </w:r>
      <w:r>
        <w:rPr>
          <w:color w:val="231F20"/>
          <w:sz w:val="15"/>
        </w:rPr>
        <w:t>(V)</w:t>
      </w:r>
      <w:r>
        <w:rPr>
          <w:color w:val="231F20"/>
          <w:spacing w:val="-5"/>
          <w:sz w:val="15"/>
        </w:rPr>
        <w:t> </w:t>
      </w:r>
      <w:r>
        <w:rPr>
          <w:color w:val="231F20"/>
          <w:sz w:val="15"/>
        </w:rPr>
        <w:t>of</w:t>
      </w:r>
      <w:r>
        <w:rPr>
          <w:color w:val="231F20"/>
          <w:spacing w:val="-5"/>
          <w:sz w:val="15"/>
        </w:rPr>
        <w:t> </w:t>
      </w:r>
      <w:r>
        <w:rPr>
          <w:color w:val="231F20"/>
          <w:sz w:val="15"/>
        </w:rPr>
        <w:t>14</w:t>
      </w:r>
      <w:r>
        <w:rPr>
          <w:color w:val="231F20"/>
          <w:spacing w:val="-5"/>
          <w:sz w:val="15"/>
        </w:rPr>
        <w:t> </w:t>
      </w:r>
      <w:r>
        <w:rPr>
          <w:color w:val="231F20"/>
          <w:sz w:val="15"/>
        </w:rPr>
        <w:t>Dec.</w:t>
      </w:r>
      <w:r>
        <w:rPr>
          <w:color w:val="231F20"/>
          <w:spacing w:val="-5"/>
          <w:sz w:val="15"/>
        </w:rPr>
        <w:t> </w:t>
      </w:r>
      <w:r>
        <w:rPr>
          <w:color w:val="231F20"/>
          <w:sz w:val="15"/>
        </w:rPr>
        <w:t>1950.</w:t>
      </w:r>
    </w:p>
    <w:p>
      <w:pPr>
        <w:pStyle w:val="ListParagraph"/>
        <w:numPr>
          <w:ilvl w:val="0"/>
          <w:numId w:val="2"/>
        </w:numPr>
        <w:tabs>
          <w:tab w:pos="440" w:val="left" w:leader="none"/>
        </w:tabs>
        <w:spacing w:line="216" w:lineRule="auto" w:before="0" w:after="0"/>
        <w:ind w:left="100" w:right="120" w:firstLine="182"/>
        <w:jc w:val="both"/>
        <w:rPr>
          <w:sz w:val="15"/>
        </w:rPr>
      </w:pPr>
      <w:r>
        <w:rPr>
          <w:color w:val="231F20"/>
          <w:sz w:val="15"/>
        </w:rPr>
        <w:t>For the text of the Guiding Principles on Internal Displacement see Office of the High Commissioner</w:t>
      </w:r>
      <w:r>
        <w:rPr>
          <w:color w:val="231F20"/>
          <w:spacing w:val="28"/>
          <w:sz w:val="15"/>
        </w:rPr>
        <w:t> </w:t>
      </w:r>
      <w:r>
        <w:rPr>
          <w:color w:val="231F20"/>
          <w:sz w:val="15"/>
        </w:rPr>
        <w:t>on</w:t>
      </w:r>
      <w:r>
        <w:rPr>
          <w:color w:val="231F20"/>
          <w:spacing w:val="28"/>
          <w:sz w:val="15"/>
        </w:rPr>
        <w:t> </w:t>
      </w:r>
      <w:r>
        <w:rPr>
          <w:color w:val="231F20"/>
          <w:sz w:val="15"/>
        </w:rPr>
        <w:t>Human</w:t>
      </w:r>
      <w:r>
        <w:rPr>
          <w:color w:val="231F20"/>
          <w:spacing w:val="28"/>
          <w:sz w:val="15"/>
        </w:rPr>
        <w:t> </w:t>
      </w:r>
      <w:r>
        <w:rPr>
          <w:color w:val="231F20"/>
          <w:sz w:val="15"/>
        </w:rPr>
        <w:t>Rights</w:t>
      </w:r>
      <w:r>
        <w:rPr>
          <w:color w:val="231F20"/>
          <w:spacing w:val="28"/>
          <w:sz w:val="15"/>
        </w:rPr>
        <w:t> </w:t>
      </w:r>
      <w:r>
        <w:rPr>
          <w:color w:val="231F20"/>
          <w:sz w:val="15"/>
        </w:rPr>
        <w:t>(UNHCHR),</w:t>
      </w:r>
      <w:r>
        <w:rPr>
          <w:color w:val="231F20"/>
          <w:spacing w:val="28"/>
          <w:sz w:val="15"/>
        </w:rPr>
        <w:t> </w:t>
      </w:r>
      <w:r>
        <w:rPr>
          <w:color w:val="231F20"/>
          <w:sz w:val="15"/>
        </w:rPr>
        <w:t>‘Guiding</w:t>
      </w:r>
      <w:r>
        <w:rPr>
          <w:color w:val="231F20"/>
          <w:spacing w:val="28"/>
          <w:sz w:val="15"/>
        </w:rPr>
        <w:t> </w:t>
      </w:r>
      <w:r>
        <w:rPr>
          <w:color w:val="231F20"/>
          <w:sz w:val="15"/>
        </w:rPr>
        <w:t>Principles</w:t>
      </w:r>
      <w:r>
        <w:rPr>
          <w:color w:val="231F20"/>
          <w:spacing w:val="28"/>
          <w:sz w:val="15"/>
        </w:rPr>
        <w:t> </w:t>
      </w:r>
      <w:r>
        <w:rPr>
          <w:color w:val="231F20"/>
          <w:sz w:val="15"/>
        </w:rPr>
        <w:t>on</w:t>
      </w:r>
      <w:r>
        <w:rPr>
          <w:color w:val="231F20"/>
          <w:spacing w:val="29"/>
          <w:sz w:val="15"/>
        </w:rPr>
        <w:t> </w:t>
      </w:r>
      <w:r>
        <w:rPr>
          <w:color w:val="231F20"/>
          <w:sz w:val="15"/>
        </w:rPr>
        <w:t>Internal</w:t>
      </w:r>
      <w:r>
        <w:rPr>
          <w:color w:val="231F20"/>
          <w:spacing w:val="28"/>
          <w:sz w:val="15"/>
        </w:rPr>
        <w:t> </w:t>
      </w:r>
      <w:r>
        <w:rPr>
          <w:color w:val="231F20"/>
          <w:sz w:val="15"/>
        </w:rPr>
        <w:t>Displacement’,</w:t>
      </w:r>
    </w:p>
    <w:p>
      <w:pPr>
        <w:spacing w:line="213" w:lineRule="auto" w:before="0"/>
        <w:ind w:left="100" w:right="120" w:firstLine="0"/>
        <w:jc w:val="both"/>
        <w:rPr>
          <w:rFonts w:ascii="Palatino Linotype" w:hAnsi="Palatino Linotype"/>
          <w:sz w:val="15"/>
        </w:rPr>
      </w:pPr>
      <w:hyperlink r:id="rId21">
        <w:r>
          <w:rPr>
            <w:rFonts w:ascii="Palatino Linotype" w:hAnsi="Palatino Linotype"/>
            <w:color w:val="231F20"/>
            <w:sz w:val="15"/>
          </w:rPr>
          <w:t>&lt;http://www.unhchr.ch/html/menu2/7/b/principles.htm&gt;.</w:t>
        </w:r>
      </w:hyperlink>
      <w:r>
        <w:rPr>
          <w:rFonts w:ascii="Palatino Linotype" w:hAnsi="Palatino Linotype"/>
          <w:color w:val="231F20"/>
          <w:sz w:val="15"/>
        </w:rPr>
        <w:t> In 2005 the Guiding Principles were recognized</w:t>
      </w:r>
      <w:r>
        <w:rPr>
          <w:rFonts w:ascii="Palatino Linotype" w:hAnsi="Palatino Linotype"/>
          <w:color w:val="231F20"/>
          <w:spacing w:val="-9"/>
          <w:sz w:val="15"/>
        </w:rPr>
        <w:t> </w:t>
      </w:r>
      <w:r>
        <w:rPr>
          <w:rFonts w:ascii="Palatino Linotype" w:hAnsi="Palatino Linotype"/>
          <w:color w:val="231F20"/>
          <w:sz w:val="15"/>
        </w:rPr>
        <w:t>by</w:t>
      </w:r>
      <w:r>
        <w:rPr>
          <w:rFonts w:ascii="Palatino Linotype" w:hAnsi="Palatino Linotype"/>
          <w:color w:val="231F20"/>
          <w:spacing w:val="-8"/>
          <w:sz w:val="15"/>
        </w:rPr>
        <w:t> </w:t>
      </w:r>
      <w:r>
        <w:rPr>
          <w:rFonts w:ascii="Palatino Linotype" w:hAnsi="Palatino Linotype"/>
          <w:color w:val="231F20"/>
          <w:sz w:val="15"/>
        </w:rPr>
        <w:t>the</w:t>
      </w:r>
      <w:r>
        <w:rPr>
          <w:rFonts w:ascii="Palatino Linotype" w:hAnsi="Palatino Linotype"/>
          <w:color w:val="231F20"/>
          <w:spacing w:val="-8"/>
          <w:sz w:val="15"/>
        </w:rPr>
        <w:t> </w:t>
      </w:r>
      <w:r>
        <w:rPr>
          <w:rFonts w:ascii="Palatino Linotype" w:hAnsi="Palatino Linotype"/>
          <w:color w:val="231F20"/>
          <w:sz w:val="15"/>
        </w:rPr>
        <w:t>World</w:t>
      </w:r>
      <w:r>
        <w:rPr>
          <w:rFonts w:ascii="Palatino Linotype" w:hAnsi="Palatino Linotype"/>
          <w:color w:val="231F20"/>
          <w:spacing w:val="-8"/>
          <w:sz w:val="15"/>
        </w:rPr>
        <w:t> </w:t>
      </w:r>
      <w:r>
        <w:rPr>
          <w:rFonts w:ascii="Palatino Linotype" w:hAnsi="Palatino Linotype"/>
          <w:color w:val="231F20"/>
          <w:sz w:val="15"/>
        </w:rPr>
        <w:t>Summit</w:t>
      </w:r>
      <w:r>
        <w:rPr>
          <w:rFonts w:ascii="Palatino Linotype" w:hAnsi="Palatino Linotype"/>
          <w:color w:val="231F20"/>
          <w:spacing w:val="-8"/>
          <w:sz w:val="15"/>
        </w:rPr>
        <w:t> </w:t>
      </w:r>
      <w:r>
        <w:rPr>
          <w:rFonts w:ascii="Palatino Linotype" w:hAnsi="Palatino Linotype"/>
          <w:color w:val="231F20"/>
          <w:sz w:val="15"/>
        </w:rPr>
        <w:t>outcome</w:t>
      </w:r>
      <w:r>
        <w:rPr>
          <w:rFonts w:ascii="Palatino Linotype" w:hAnsi="Palatino Linotype"/>
          <w:color w:val="231F20"/>
          <w:spacing w:val="-8"/>
          <w:sz w:val="15"/>
        </w:rPr>
        <w:t> </w:t>
      </w:r>
      <w:r>
        <w:rPr>
          <w:rFonts w:ascii="Palatino Linotype" w:hAnsi="Palatino Linotype"/>
          <w:color w:val="231F20"/>
          <w:sz w:val="15"/>
        </w:rPr>
        <w:t>document</w:t>
      </w:r>
      <w:r>
        <w:rPr>
          <w:rFonts w:ascii="Palatino Linotype" w:hAnsi="Palatino Linotype"/>
          <w:color w:val="231F20"/>
          <w:spacing w:val="-8"/>
          <w:sz w:val="15"/>
        </w:rPr>
        <w:t> </w:t>
      </w:r>
      <w:r>
        <w:rPr>
          <w:rFonts w:ascii="Palatino Linotype" w:hAnsi="Palatino Linotype"/>
          <w:color w:val="231F20"/>
          <w:sz w:val="15"/>
        </w:rPr>
        <w:t>as</w:t>
      </w:r>
      <w:r>
        <w:rPr>
          <w:rFonts w:ascii="Palatino Linotype" w:hAnsi="Palatino Linotype"/>
          <w:color w:val="231F20"/>
          <w:spacing w:val="-8"/>
          <w:sz w:val="15"/>
        </w:rPr>
        <w:t> </w:t>
      </w:r>
      <w:r>
        <w:rPr>
          <w:rFonts w:ascii="Palatino Linotype" w:hAnsi="Palatino Linotype"/>
          <w:color w:val="231F20"/>
          <w:sz w:val="15"/>
        </w:rPr>
        <w:t>‘an</w:t>
      </w:r>
      <w:r>
        <w:rPr>
          <w:rFonts w:ascii="Palatino Linotype" w:hAnsi="Palatino Linotype"/>
          <w:color w:val="231F20"/>
          <w:spacing w:val="-8"/>
          <w:sz w:val="15"/>
        </w:rPr>
        <w:t> </w:t>
      </w:r>
      <w:r>
        <w:rPr>
          <w:rFonts w:ascii="Palatino Linotype" w:hAnsi="Palatino Linotype"/>
          <w:color w:val="231F20"/>
          <w:sz w:val="15"/>
        </w:rPr>
        <w:t>important</w:t>
      </w:r>
      <w:r>
        <w:rPr>
          <w:rFonts w:ascii="Palatino Linotype" w:hAnsi="Palatino Linotype"/>
          <w:color w:val="231F20"/>
          <w:spacing w:val="-8"/>
          <w:sz w:val="15"/>
        </w:rPr>
        <w:t> </w:t>
      </w:r>
      <w:r>
        <w:rPr>
          <w:rFonts w:ascii="Palatino Linotype" w:hAnsi="Palatino Linotype"/>
          <w:color w:val="231F20"/>
          <w:sz w:val="15"/>
        </w:rPr>
        <w:t>international</w:t>
      </w:r>
      <w:r>
        <w:rPr>
          <w:rFonts w:ascii="Palatino Linotype" w:hAnsi="Palatino Linotype"/>
          <w:color w:val="231F20"/>
          <w:spacing w:val="-8"/>
          <w:sz w:val="15"/>
        </w:rPr>
        <w:t> </w:t>
      </w:r>
      <w:r>
        <w:rPr>
          <w:rFonts w:ascii="Palatino Linotype" w:hAnsi="Palatino Linotype"/>
          <w:color w:val="231F20"/>
          <w:sz w:val="15"/>
        </w:rPr>
        <w:t>framework</w:t>
      </w:r>
      <w:r>
        <w:rPr>
          <w:rFonts w:ascii="Palatino Linotype" w:hAnsi="Palatino Linotype"/>
          <w:color w:val="231F20"/>
          <w:spacing w:val="-8"/>
          <w:sz w:val="15"/>
        </w:rPr>
        <w:t> </w:t>
      </w:r>
      <w:r>
        <w:rPr>
          <w:rFonts w:ascii="Palatino Linotype" w:hAnsi="Palatino Linotype"/>
          <w:color w:val="231F20"/>
          <w:sz w:val="15"/>
        </w:rPr>
        <w:t>for the protection of internally displaced persons’. UN General Assembly, 2005 World  Summit, 14–16 Sep. 2005, ‘2005 World Summit: outcome’, </w:t>
      </w:r>
      <w:hyperlink r:id="rId22">
        <w:r>
          <w:rPr>
            <w:rFonts w:ascii="Palatino Linotype" w:hAnsi="Palatino Linotype"/>
            <w:color w:val="231F20"/>
            <w:sz w:val="15"/>
          </w:rPr>
          <w:t>&lt;http://www.un.org/summit2005/documents.</w:t>
        </w:r>
      </w:hyperlink>
      <w:r>
        <w:rPr>
          <w:rFonts w:ascii="Palatino Linotype" w:hAnsi="Palatino Linotype"/>
          <w:color w:val="231F20"/>
          <w:sz w:val="15"/>
        </w:rPr>
        <w:t> html&gt;, para. 132. More than 15 countries have incorporated the Guiding Principles into their domestic</w:t>
      </w:r>
      <w:r>
        <w:rPr>
          <w:rFonts w:ascii="Palatino Linotype" w:hAnsi="Palatino Linotype"/>
          <w:color w:val="231F20"/>
          <w:spacing w:val="-12"/>
          <w:sz w:val="15"/>
        </w:rPr>
        <w:t> </w:t>
      </w:r>
      <w:r>
        <w:rPr>
          <w:rFonts w:ascii="Palatino Linotype" w:hAnsi="Palatino Linotype"/>
          <w:color w:val="231F20"/>
          <w:sz w:val="15"/>
        </w:rPr>
        <w:t>legislation.</w:t>
      </w:r>
      <w:r>
        <w:rPr>
          <w:rFonts w:ascii="Palatino Linotype" w:hAnsi="Palatino Linotype"/>
          <w:color w:val="231F20"/>
          <w:spacing w:val="-11"/>
          <w:sz w:val="15"/>
        </w:rPr>
        <w:t> </w:t>
      </w:r>
      <w:r>
        <w:rPr>
          <w:rFonts w:ascii="Palatino Linotype" w:hAnsi="Palatino Linotype"/>
          <w:color w:val="231F20"/>
          <w:sz w:val="15"/>
        </w:rPr>
        <w:t>Cohen,</w:t>
      </w:r>
      <w:r>
        <w:rPr>
          <w:rFonts w:ascii="Palatino Linotype" w:hAnsi="Palatino Linotype"/>
          <w:color w:val="231F20"/>
          <w:spacing w:val="-12"/>
          <w:sz w:val="15"/>
        </w:rPr>
        <w:t> </w:t>
      </w:r>
      <w:r>
        <w:rPr>
          <w:rFonts w:ascii="Palatino Linotype" w:hAnsi="Palatino Linotype"/>
          <w:color w:val="231F20"/>
          <w:sz w:val="15"/>
        </w:rPr>
        <w:t>R.,</w:t>
      </w:r>
      <w:r>
        <w:rPr>
          <w:rFonts w:ascii="Palatino Linotype" w:hAnsi="Palatino Linotype"/>
          <w:color w:val="231F20"/>
          <w:spacing w:val="-11"/>
          <w:sz w:val="15"/>
        </w:rPr>
        <w:t> </w:t>
      </w:r>
      <w:r>
        <w:rPr>
          <w:rFonts w:ascii="Palatino Linotype" w:hAnsi="Palatino Linotype"/>
          <w:color w:val="231F20"/>
          <w:sz w:val="15"/>
        </w:rPr>
        <w:t>‘The</w:t>
      </w:r>
      <w:r>
        <w:rPr>
          <w:rFonts w:ascii="Palatino Linotype" w:hAnsi="Palatino Linotype"/>
          <w:color w:val="231F20"/>
          <w:spacing w:val="-11"/>
          <w:sz w:val="15"/>
        </w:rPr>
        <w:t> </w:t>
      </w:r>
      <w:r>
        <w:rPr>
          <w:rFonts w:ascii="Palatino Linotype" w:hAnsi="Palatino Linotype"/>
          <w:color w:val="231F20"/>
          <w:sz w:val="15"/>
        </w:rPr>
        <w:t>Guiding</w:t>
      </w:r>
      <w:r>
        <w:rPr>
          <w:rFonts w:ascii="Palatino Linotype" w:hAnsi="Palatino Linotype"/>
          <w:color w:val="231F20"/>
          <w:spacing w:val="-12"/>
          <w:sz w:val="15"/>
        </w:rPr>
        <w:t> </w:t>
      </w:r>
      <w:r>
        <w:rPr>
          <w:rFonts w:ascii="Palatino Linotype" w:hAnsi="Palatino Linotype"/>
          <w:color w:val="231F20"/>
          <w:sz w:val="15"/>
        </w:rPr>
        <w:t>Principles</w:t>
      </w:r>
      <w:r>
        <w:rPr>
          <w:rFonts w:ascii="Palatino Linotype" w:hAnsi="Palatino Linotype"/>
          <w:color w:val="231F20"/>
          <w:spacing w:val="-11"/>
          <w:sz w:val="15"/>
        </w:rPr>
        <w:t> </w:t>
      </w:r>
      <w:r>
        <w:rPr>
          <w:rFonts w:ascii="Palatino Linotype" w:hAnsi="Palatino Linotype"/>
          <w:color w:val="231F20"/>
          <w:sz w:val="15"/>
        </w:rPr>
        <w:t>on</w:t>
      </w:r>
      <w:r>
        <w:rPr>
          <w:rFonts w:ascii="Palatino Linotype" w:hAnsi="Palatino Linotype"/>
          <w:color w:val="231F20"/>
          <w:spacing w:val="-11"/>
          <w:sz w:val="15"/>
        </w:rPr>
        <w:t> </w:t>
      </w:r>
      <w:r>
        <w:rPr>
          <w:rFonts w:ascii="Palatino Linotype" w:hAnsi="Palatino Linotype"/>
          <w:color w:val="231F20"/>
          <w:sz w:val="15"/>
        </w:rPr>
        <w:t>Internal</w:t>
      </w:r>
      <w:r>
        <w:rPr>
          <w:rFonts w:ascii="Palatino Linotype" w:hAnsi="Palatino Linotype"/>
          <w:color w:val="231F20"/>
          <w:spacing w:val="-12"/>
          <w:sz w:val="15"/>
        </w:rPr>
        <w:t> </w:t>
      </w:r>
      <w:r>
        <w:rPr>
          <w:rFonts w:ascii="Palatino Linotype" w:hAnsi="Palatino Linotype"/>
          <w:color w:val="231F20"/>
          <w:sz w:val="15"/>
        </w:rPr>
        <w:t>Displacement:</w:t>
      </w:r>
      <w:r>
        <w:rPr>
          <w:rFonts w:ascii="Palatino Linotype" w:hAnsi="Palatino Linotype"/>
          <w:color w:val="231F20"/>
          <w:spacing w:val="-11"/>
          <w:sz w:val="15"/>
        </w:rPr>
        <w:t> </w:t>
      </w:r>
      <w:r>
        <w:rPr>
          <w:rFonts w:ascii="Palatino Linotype" w:hAnsi="Palatino Linotype"/>
          <w:color w:val="231F20"/>
          <w:sz w:val="15"/>
        </w:rPr>
        <w:t>an</w:t>
      </w:r>
      <w:r>
        <w:rPr>
          <w:rFonts w:ascii="Palatino Linotype" w:hAnsi="Palatino Linotype"/>
          <w:color w:val="231F20"/>
          <w:spacing w:val="-11"/>
          <w:sz w:val="15"/>
        </w:rPr>
        <w:t> </w:t>
      </w:r>
      <w:r>
        <w:rPr>
          <w:rFonts w:ascii="Palatino Linotype" w:hAnsi="Palatino Linotype"/>
          <w:color w:val="231F20"/>
          <w:sz w:val="15"/>
        </w:rPr>
        <w:t>innovation</w:t>
      </w:r>
      <w:r>
        <w:rPr>
          <w:rFonts w:ascii="Palatino Linotype" w:hAnsi="Palatino Linotype"/>
          <w:color w:val="231F20"/>
          <w:spacing w:val="-12"/>
          <w:sz w:val="15"/>
        </w:rPr>
        <w:t> </w:t>
      </w:r>
      <w:r>
        <w:rPr>
          <w:rFonts w:ascii="Palatino Linotype" w:hAnsi="Palatino Linotype"/>
          <w:color w:val="231F20"/>
          <w:sz w:val="15"/>
        </w:rPr>
        <w:t>in international standard setting’, </w:t>
      </w:r>
      <w:r>
        <w:rPr>
          <w:rFonts w:ascii="Palatino Linotype" w:hAnsi="Palatino Linotype"/>
          <w:i/>
          <w:color w:val="231F20"/>
          <w:sz w:val="15"/>
        </w:rPr>
        <w:t>Global Governance</w:t>
      </w:r>
      <w:r>
        <w:rPr>
          <w:rFonts w:ascii="Palatino Linotype" w:hAnsi="Palatino Linotype"/>
          <w:color w:val="231F20"/>
          <w:sz w:val="15"/>
        </w:rPr>
        <w:t>, vol. 10, no. 4 (Oct.–Dec. 2004), pp. 470–71; and Wyndham, J., </w:t>
      </w:r>
      <w:r>
        <w:rPr>
          <w:rFonts w:ascii="Palatino Linotype" w:hAnsi="Palatino Linotype"/>
          <w:i/>
          <w:color w:val="231F20"/>
          <w:sz w:val="15"/>
        </w:rPr>
        <w:t>A Developing Trend: Laws and Policies on Internal Displacement</w:t>
      </w:r>
      <w:r>
        <w:rPr>
          <w:rFonts w:ascii="Palatino Linotype" w:hAnsi="Palatino Linotype"/>
          <w:color w:val="231F20"/>
          <w:sz w:val="15"/>
        </w:rPr>
        <w:t>, Brookings–Bern Pro- ject on Internal Displacement Human Rights Brief (Brookings–Bern Project on Internal Displace- ment:</w:t>
      </w:r>
      <w:r>
        <w:rPr>
          <w:rFonts w:ascii="Palatino Linotype" w:hAnsi="Palatino Linotype"/>
          <w:color w:val="231F20"/>
          <w:spacing w:val="-12"/>
          <w:sz w:val="15"/>
        </w:rPr>
        <w:t> </w:t>
      </w:r>
      <w:r>
        <w:rPr>
          <w:rFonts w:ascii="Palatino Linotype" w:hAnsi="Palatino Linotype"/>
          <w:color w:val="231F20"/>
          <w:sz w:val="15"/>
        </w:rPr>
        <w:t>Washington,</w:t>
      </w:r>
      <w:r>
        <w:rPr>
          <w:rFonts w:ascii="Palatino Linotype" w:hAnsi="Palatino Linotype"/>
          <w:color w:val="231F20"/>
          <w:spacing w:val="-12"/>
          <w:sz w:val="15"/>
        </w:rPr>
        <w:t> </w:t>
      </w:r>
      <w:r>
        <w:rPr>
          <w:rFonts w:ascii="Palatino Linotype" w:hAnsi="Palatino Linotype"/>
          <w:color w:val="231F20"/>
          <w:sz w:val="15"/>
        </w:rPr>
        <w:t>DC,</w:t>
      </w:r>
      <w:r>
        <w:rPr>
          <w:rFonts w:ascii="Palatino Linotype" w:hAnsi="Palatino Linotype"/>
          <w:color w:val="231F20"/>
          <w:spacing w:val="-12"/>
          <w:sz w:val="15"/>
        </w:rPr>
        <w:t> </w:t>
      </w:r>
      <w:r>
        <w:rPr>
          <w:rFonts w:ascii="Palatino Linotype" w:hAnsi="Palatino Linotype"/>
          <w:color w:val="231F20"/>
          <w:sz w:val="15"/>
        </w:rPr>
        <w:t>winter</w:t>
      </w:r>
      <w:r>
        <w:rPr>
          <w:rFonts w:ascii="Palatino Linotype" w:hAnsi="Palatino Linotype"/>
          <w:color w:val="231F20"/>
          <w:spacing w:val="-12"/>
          <w:sz w:val="15"/>
        </w:rPr>
        <w:t> </w:t>
      </w:r>
      <w:r>
        <w:rPr>
          <w:rFonts w:ascii="Palatino Linotype" w:hAnsi="Palatino Linotype"/>
          <w:color w:val="231F20"/>
          <w:sz w:val="15"/>
        </w:rPr>
        <w:t>2006),</w:t>
      </w:r>
      <w:r>
        <w:rPr>
          <w:rFonts w:ascii="Palatino Linotype" w:hAnsi="Palatino Linotype"/>
          <w:color w:val="231F20"/>
          <w:spacing w:val="-12"/>
          <w:sz w:val="15"/>
        </w:rPr>
        <w:t> </w:t>
      </w:r>
      <w:r>
        <w:rPr>
          <w:rFonts w:ascii="Palatino Linotype" w:hAnsi="Palatino Linotype"/>
          <w:color w:val="231F20"/>
          <w:sz w:val="15"/>
        </w:rPr>
        <w:t>pp.</w:t>
      </w:r>
      <w:r>
        <w:rPr>
          <w:rFonts w:ascii="Palatino Linotype" w:hAnsi="Palatino Linotype"/>
          <w:color w:val="231F20"/>
          <w:spacing w:val="-12"/>
          <w:sz w:val="15"/>
        </w:rPr>
        <w:t> </w:t>
      </w:r>
      <w:r>
        <w:rPr>
          <w:rFonts w:ascii="Palatino Linotype" w:hAnsi="Palatino Linotype"/>
          <w:color w:val="231F20"/>
          <w:sz w:val="15"/>
        </w:rPr>
        <w:t>7–12.</w:t>
      </w:r>
      <w:r>
        <w:rPr>
          <w:rFonts w:ascii="Palatino Linotype" w:hAnsi="Palatino Linotype"/>
          <w:color w:val="231F20"/>
          <w:spacing w:val="-12"/>
          <w:sz w:val="15"/>
        </w:rPr>
        <w:t> </w:t>
      </w:r>
      <w:r>
        <w:rPr>
          <w:rFonts w:ascii="Palatino Linotype" w:hAnsi="Palatino Linotype"/>
          <w:color w:val="231F20"/>
          <w:sz w:val="15"/>
        </w:rPr>
        <w:t>The</w:t>
      </w:r>
      <w:r>
        <w:rPr>
          <w:rFonts w:ascii="Palatino Linotype" w:hAnsi="Palatino Linotype"/>
          <w:color w:val="231F20"/>
          <w:spacing w:val="-12"/>
          <w:sz w:val="15"/>
        </w:rPr>
        <w:t> </w:t>
      </w:r>
      <w:r>
        <w:rPr>
          <w:rFonts w:ascii="Palatino Linotype" w:hAnsi="Palatino Linotype"/>
          <w:color w:val="231F20"/>
          <w:sz w:val="15"/>
        </w:rPr>
        <w:t>African</w:t>
      </w:r>
      <w:r>
        <w:rPr>
          <w:rFonts w:ascii="Palatino Linotype" w:hAnsi="Palatino Linotype"/>
          <w:color w:val="231F20"/>
          <w:spacing w:val="-12"/>
          <w:sz w:val="15"/>
        </w:rPr>
        <w:t> </w:t>
      </w:r>
      <w:r>
        <w:rPr>
          <w:rFonts w:ascii="Palatino Linotype" w:hAnsi="Palatino Linotype"/>
          <w:color w:val="231F20"/>
          <w:sz w:val="15"/>
        </w:rPr>
        <w:t>Union</w:t>
      </w:r>
      <w:r>
        <w:rPr>
          <w:rFonts w:ascii="Palatino Linotype" w:hAnsi="Palatino Linotype"/>
          <w:color w:val="231F20"/>
          <w:spacing w:val="-12"/>
          <w:sz w:val="15"/>
        </w:rPr>
        <w:t> </w:t>
      </w:r>
      <w:r>
        <w:rPr>
          <w:rFonts w:ascii="Palatino Linotype" w:hAnsi="Palatino Linotype"/>
          <w:color w:val="231F20"/>
          <w:sz w:val="15"/>
        </w:rPr>
        <w:t>has</w:t>
      </w:r>
      <w:r>
        <w:rPr>
          <w:rFonts w:ascii="Palatino Linotype" w:hAnsi="Palatino Linotype"/>
          <w:color w:val="231F20"/>
          <w:spacing w:val="-12"/>
          <w:sz w:val="15"/>
        </w:rPr>
        <w:t> </w:t>
      </w:r>
      <w:r>
        <w:rPr>
          <w:rFonts w:ascii="Palatino Linotype" w:hAnsi="Palatino Linotype"/>
          <w:color w:val="231F20"/>
          <w:sz w:val="15"/>
        </w:rPr>
        <w:t>drafted</w:t>
      </w:r>
      <w:r>
        <w:rPr>
          <w:rFonts w:ascii="Palatino Linotype" w:hAnsi="Palatino Linotype"/>
          <w:color w:val="231F20"/>
          <w:spacing w:val="-12"/>
          <w:sz w:val="15"/>
        </w:rPr>
        <w:t> </w:t>
      </w:r>
      <w:r>
        <w:rPr>
          <w:rFonts w:ascii="Palatino Linotype" w:hAnsi="Palatino Linotype"/>
          <w:color w:val="231F20"/>
          <w:sz w:val="15"/>
        </w:rPr>
        <w:t>a</w:t>
      </w:r>
      <w:r>
        <w:rPr>
          <w:rFonts w:ascii="Palatino Linotype" w:hAnsi="Palatino Linotype"/>
          <w:color w:val="231F20"/>
          <w:spacing w:val="-12"/>
          <w:sz w:val="15"/>
        </w:rPr>
        <w:t> </w:t>
      </w:r>
      <w:r>
        <w:rPr>
          <w:rFonts w:ascii="Palatino Linotype" w:hAnsi="Palatino Linotype"/>
          <w:color w:val="231F20"/>
          <w:sz w:val="15"/>
        </w:rPr>
        <w:t>binding</w:t>
      </w:r>
      <w:r>
        <w:rPr>
          <w:rFonts w:ascii="Palatino Linotype" w:hAnsi="Palatino Linotype"/>
          <w:color w:val="231F20"/>
          <w:spacing w:val="-12"/>
          <w:sz w:val="15"/>
        </w:rPr>
        <w:t> </w:t>
      </w:r>
      <w:r>
        <w:rPr>
          <w:rFonts w:ascii="Palatino Linotype" w:hAnsi="Palatino Linotype"/>
          <w:color w:val="231F20"/>
          <w:sz w:val="15"/>
        </w:rPr>
        <w:t>convention</w:t>
      </w:r>
    </w:p>
    <w:p>
      <w:pPr>
        <w:spacing w:after="0" w:line="213" w:lineRule="auto"/>
        <w:jc w:val="both"/>
        <w:rPr>
          <w:rFonts w:ascii="Palatino Linotype" w:hAnsi="Palatino Linotype"/>
          <w:sz w:val="15"/>
        </w:rPr>
        <w:sectPr>
          <w:pgSz w:w="8850" w:h="13270"/>
          <w:pgMar w:header="752" w:footer="0" w:top="1080" w:bottom="280" w:left="1080" w:right="1060"/>
        </w:sectPr>
      </w:pPr>
    </w:p>
    <w:p>
      <w:pPr>
        <w:pStyle w:val="BodyText"/>
        <w:spacing w:line="278" w:lineRule="auto" w:before="141"/>
        <w:ind w:right="121"/>
        <w:rPr>
          <w:rFonts w:ascii="Adobe Jenson Pro Lt Capt" w:hAnsi="Adobe Jenson Pro Lt Capt"/>
          <w:b w:val="0"/>
          <w:sz w:val="12"/>
        </w:rPr>
      </w:pPr>
      <w:bookmarkStart w:name="Sovereignty as responsibility to protect" w:id="8"/>
      <w:bookmarkEnd w:id="8"/>
      <w:r>
        <w:rPr/>
      </w:r>
      <w:r>
        <w:rPr>
          <w:color w:val="231F20"/>
        </w:rPr>
        <w:t>international agency responsible for IDPs, although in 2005 the UNHCR agreed to be the ‘cluster’ lead for the protection of IDPs under the UN’s collaborative approach.</w:t>
      </w:r>
      <w:r>
        <w:rPr>
          <w:rFonts w:ascii="Adobe Jenson Pro Lt Capt" w:hAnsi="Adobe Jenson Pro Lt Capt"/>
          <w:b w:val="0"/>
          <w:color w:val="231F20"/>
          <w:position w:val="6"/>
          <w:sz w:val="12"/>
        </w:rPr>
        <w:t>41</w:t>
      </w:r>
    </w:p>
    <w:p>
      <w:pPr>
        <w:pStyle w:val="BodyText"/>
        <w:spacing w:line="278" w:lineRule="auto"/>
        <w:ind w:right="118" w:firstLine="180"/>
        <w:rPr>
          <w:rFonts w:ascii="Adobe Jenson Pro Lt Capt" w:hAnsi="Adobe Jenson Pro Lt Capt"/>
          <w:b w:val="0"/>
          <w:sz w:val="12"/>
        </w:rPr>
      </w:pPr>
      <w:r>
        <w:rPr>
          <w:color w:val="231F20"/>
        </w:rPr>
        <w:t>Despite the weakness of the protection regime for IDPs, some refugee advocates continue to challenge the international focus on internally dis- placed persons as potentially undermining the preservation of the right to asylum across borders.</w:t>
      </w:r>
      <w:r>
        <w:rPr>
          <w:rFonts w:ascii="Adobe Jenson Pro Lt Capt" w:hAnsi="Adobe Jenson Pro Lt Capt"/>
          <w:b w:val="0"/>
          <w:color w:val="231F20"/>
          <w:position w:val="6"/>
          <w:sz w:val="12"/>
        </w:rPr>
        <w:t>42 </w:t>
      </w:r>
      <w:r>
        <w:rPr>
          <w:color w:val="231F20"/>
        </w:rPr>
        <w:t>It is true that the growing international inhospi- tality towards refugees has gone hand in hand with increasing numbers of IDPs, but the reasons are to be found mainly in changed political attitudes towards receiving refugees after the cold war, growing security concerns especially since the September 2001 terrorist attacks on the United States, high ﬁnancial costs, and the social and cultural dislocations caused by the entry of large numbers of newcomers.</w:t>
      </w:r>
      <w:r>
        <w:rPr>
          <w:rFonts w:ascii="Adobe Jenson Pro Lt Capt" w:hAnsi="Adobe Jenson Pro Lt Capt"/>
          <w:b w:val="0"/>
          <w:color w:val="231F20"/>
          <w:position w:val="6"/>
          <w:sz w:val="12"/>
        </w:rPr>
        <w:t>43 </w:t>
      </w:r>
      <w:r>
        <w:rPr>
          <w:color w:val="231F20"/>
        </w:rPr>
        <w:t>It also emanates from the increas-  ing difficulties in establishing who is a refugee given that more and more people who ﬂee their countries are doing so for mixed reasons—extreme deprivation, environmental degradation and climate change as well as con- ﬂict and persecution.</w:t>
      </w:r>
      <w:r>
        <w:rPr>
          <w:rFonts w:ascii="Adobe Jenson Pro Lt Capt" w:hAnsi="Adobe Jenson Pro Lt Capt"/>
          <w:b w:val="0"/>
          <w:color w:val="231F20"/>
          <w:position w:val="6"/>
          <w:sz w:val="12"/>
        </w:rPr>
        <w:t>44 </w:t>
      </w:r>
      <w:r>
        <w:rPr>
          <w:color w:val="231F20"/>
        </w:rPr>
        <w:t>What is important is that refugees  and  IDPs  are often inextricably linked in emergencies, making the need for a more com- prehensive international protection system for both groups compelling. As Hilary Benn, the United Kingdom’s Secretary of State for International Development, aptly asked in 2004: ‘Is it really sensible that we have differ- ent systems for dealing with people ﬂeeing their homes depending on whether they happen to have crossed an international</w:t>
      </w:r>
      <w:r>
        <w:rPr>
          <w:color w:val="231F20"/>
          <w:spacing w:val="22"/>
        </w:rPr>
        <w:t> </w:t>
      </w:r>
      <w:r>
        <w:rPr>
          <w:color w:val="231F20"/>
        </w:rPr>
        <w:t>border?’</w:t>
      </w:r>
      <w:r>
        <w:rPr>
          <w:rFonts w:ascii="Adobe Jenson Pro Lt Capt" w:hAnsi="Adobe Jenson Pro Lt Capt"/>
          <w:b w:val="0"/>
          <w:color w:val="231F20"/>
          <w:position w:val="6"/>
          <w:sz w:val="12"/>
        </w:rPr>
        <w:t>45</w:t>
      </w:r>
    </w:p>
    <w:p>
      <w:pPr>
        <w:pStyle w:val="BodyText"/>
        <w:spacing w:before="4"/>
        <w:ind w:left="0"/>
        <w:jc w:val="left"/>
        <w:rPr>
          <w:rFonts w:ascii="Adobe Jenson Pro Lt Capt"/>
          <w:b w:val="0"/>
          <w:sz w:val="24"/>
        </w:rPr>
      </w:pPr>
    </w:p>
    <w:p>
      <w:pPr>
        <w:pStyle w:val="Heading2"/>
        <w:ind w:left="100"/>
      </w:pPr>
      <w:r>
        <w:rPr>
          <w:color w:val="231F20"/>
          <w:w w:val="105"/>
        </w:rPr>
        <w:t>Sovereignty as responsibility to protect</w:t>
      </w:r>
    </w:p>
    <w:p>
      <w:pPr>
        <w:pStyle w:val="BodyText"/>
        <w:spacing w:line="278" w:lineRule="auto" w:before="176"/>
        <w:ind w:right="117"/>
      </w:pPr>
      <w:r>
        <w:rPr>
          <w:color w:val="231F20"/>
        </w:rPr>
        <w:t>The desire to protect persons affected by internal conﬂicts in great measure led to the concept of ‘human security’, which  sought  to  shift  discourse  away from state-oriented security to person-oriented  security,  that  is,  to the protection of human beings, while at the same time acknowledging that state security and human security are connected and should be</w:t>
      </w:r>
      <w:r>
        <w:rPr>
          <w:color w:val="231F20"/>
          <w:spacing w:val="-20"/>
        </w:rPr>
        <w:t> </w:t>
      </w:r>
      <w:r>
        <w:rPr>
          <w:color w:val="231F20"/>
        </w:rPr>
        <w:t>mutually</w:t>
      </w:r>
    </w:p>
    <w:p>
      <w:pPr>
        <w:pStyle w:val="BodyText"/>
        <w:ind w:left="0"/>
        <w:jc w:val="left"/>
        <w:rPr>
          <w:sz w:val="26"/>
        </w:rPr>
      </w:pPr>
    </w:p>
    <w:p>
      <w:pPr>
        <w:spacing w:line="216" w:lineRule="auto" w:before="156"/>
        <w:ind w:left="100" w:right="121" w:firstLine="0"/>
        <w:jc w:val="both"/>
        <w:rPr>
          <w:rFonts w:ascii="Palatino Linotype"/>
          <w:sz w:val="15"/>
        </w:rPr>
      </w:pPr>
      <w:r>
        <w:rPr>
          <w:rFonts w:ascii="Palatino Linotype"/>
          <w:color w:val="231F20"/>
          <w:sz w:val="15"/>
        </w:rPr>
        <w:t>on</w:t>
      </w:r>
      <w:r>
        <w:rPr>
          <w:rFonts w:ascii="Palatino Linotype"/>
          <w:color w:val="231F20"/>
          <w:spacing w:val="-5"/>
          <w:sz w:val="15"/>
        </w:rPr>
        <w:t> </w:t>
      </w:r>
      <w:r>
        <w:rPr>
          <w:rFonts w:ascii="Palatino Linotype"/>
          <w:color w:val="231F20"/>
          <w:sz w:val="15"/>
        </w:rPr>
        <w:t>internal</w:t>
      </w:r>
      <w:r>
        <w:rPr>
          <w:rFonts w:ascii="Palatino Linotype"/>
          <w:color w:val="231F20"/>
          <w:spacing w:val="-4"/>
          <w:sz w:val="15"/>
        </w:rPr>
        <w:t> </w:t>
      </w:r>
      <w:r>
        <w:rPr>
          <w:rFonts w:ascii="Palatino Linotype"/>
          <w:color w:val="231F20"/>
          <w:sz w:val="15"/>
        </w:rPr>
        <w:t>displacement</w:t>
      </w:r>
      <w:r>
        <w:rPr>
          <w:rFonts w:ascii="Palatino Linotype"/>
          <w:color w:val="231F20"/>
          <w:spacing w:val="-4"/>
          <w:sz w:val="15"/>
        </w:rPr>
        <w:t> </w:t>
      </w:r>
      <w:r>
        <w:rPr>
          <w:rFonts w:ascii="Palatino Linotype"/>
          <w:color w:val="231F20"/>
          <w:sz w:val="15"/>
        </w:rPr>
        <w:t>on</w:t>
      </w:r>
      <w:r>
        <w:rPr>
          <w:rFonts w:ascii="Palatino Linotype"/>
          <w:color w:val="231F20"/>
          <w:spacing w:val="-4"/>
          <w:sz w:val="15"/>
        </w:rPr>
        <w:t> </w:t>
      </w:r>
      <w:r>
        <w:rPr>
          <w:rFonts w:ascii="Palatino Linotype"/>
          <w:color w:val="231F20"/>
          <w:sz w:val="15"/>
        </w:rPr>
        <w:t>the</w:t>
      </w:r>
      <w:r>
        <w:rPr>
          <w:rFonts w:ascii="Palatino Linotype"/>
          <w:color w:val="231F20"/>
          <w:spacing w:val="-4"/>
          <w:sz w:val="15"/>
        </w:rPr>
        <w:t> </w:t>
      </w:r>
      <w:r>
        <w:rPr>
          <w:rFonts w:ascii="Palatino Linotype"/>
          <w:color w:val="231F20"/>
          <w:sz w:val="15"/>
        </w:rPr>
        <w:t>basis</w:t>
      </w:r>
      <w:r>
        <w:rPr>
          <w:rFonts w:ascii="Palatino Linotype"/>
          <w:color w:val="231F20"/>
          <w:spacing w:val="-5"/>
          <w:sz w:val="15"/>
        </w:rPr>
        <w:t> </w:t>
      </w:r>
      <w:r>
        <w:rPr>
          <w:rFonts w:ascii="Palatino Linotype"/>
          <w:color w:val="231F20"/>
          <w:sz w:val="15"/>
        </w:rPr>
        <w:t>of</w:t>
      </w:r>
      <w:r>
        <w:rPr>
          <w:rFonts w:ascii="Palatino Linotype"/>
          <w:color w:val="231F20"/>
          <w:spacing w:val="-4"/>
          <w:sz w:val="15"/>
        </w:rPr>
        <w:t> </w:t>
      </w:r>
      <w:r>
        <w:rPr>
          <w:rFonts w:ascii="Palatino Linotype"/>
          <w:color w:val="231F20"/>
          <w:sz w:val="15"/>
        </w:rPr>
        <w:t>the</w:t>
      </w:r>
      <w:r>
        <w:rPr>
          <w:rFonts w:ascii="Palatino Linotype"/>
          <w:color w:val="231F20"/>
          <w:spacing w:val="-4"/>
          <w:sz w:val="15"/>
        </w:rPr>
        <w:t> </w:t>
      </w:r>
      <w:r>
        <w:rPr>
          <w:rFonts w:ascii="Palatino Linotype"/>
          <w:color w:val="231F20"/>
          <w:sz w:val="15"/>
        </w:rPr>
        <w:t>Guiding</w:t>
      </w:r>
      <w:r>
        <w:rPr>
          <w:rFonts w:ascii="Palatino Linotype"/>
          <w:color w:val="231F20"/>
          <w:spacing w:val="-4"/>
          <w:sz w:val="15"/>
        </w:rPr>
        <w:t> </w:t>
      </w:r>
      <w:r>
        <w:rPr>
          <w:rFonts w:ascii="Palatino Linotype"/>
          <w:color w:val="231F20"/>
          <w:sz w:val="15"/>
        </w:rPr>
        <w:t>Principles</w:t>
      </w:r>
      <w:r>
        <w:rPr>
          <w:rFonts w:ascii="Palatino Linotype"/>
          <w:color w:val="231F20"/>
          <w:spacing w:val="-4"/>
          <w:sz w:val="15"/>
        </w:rPr>
        <w:t> </w:t>
      </w:r>
      <w:r>
        <w:rPr>
          <w:rFonts w:ascii="Palatino Linotype"/>
          <w:color w:val="231F20"/>
          <w:sz w:val="15"/>
        </w:rPr>
        <w:t>which</w:t>
      </w:r>
      <w:r>
        <w:rPr>
          <w:rFonts w:ascii="Palatino Linotype"/>
          <w:color w:val="231F20"/>
          <w:spacing w:val="-5"/>
          <w:sz w:val="15"/>
        </w:rPr>
        <w:t> </w:t>
      </w:r>
      <w:r>
        <w:rPr>
          <w:rFonts w:ascii="Palatino Linotype"/>
          <w:color w:val="231F20"/>
          <w:sz w:val="15"/>
        </w:rPr>
        <w:t>is</w:t>
      </w:r>
      <w:r>
        <w:rPr>
          <w:rFonts w:ascii="Palatino Linotype"/>
          <w:color w:val="231F20"/>
          <w:spacing w:val="-4"/>
          <w:sz w:val="15"/>
        </w:rPr>
        <w:t> </w:t>
      </w:r>
      <w:r>
        <w:rPr>
          <w:rFonts w:ascii="Palatino Linotype"/>
          <w:color w:val="231F20"/>
          <w:sz w:val="15"/>
        </w:rPr>
        <w:t>expected</w:t>
      </w:r>
      <w:r>
        <w:rPr>
          <w:rFonts w:ascii="Palatino Linotype"/>
          <w:color w:val="231F20"/>
          <w:spacing w:val="-4"/>
          <w:sz w:val="15"/>
        </w:rPr>
        <w:t> </w:t>
      </w:r>
      <w:r>
        <w:rPr>
          <w:rFonts w:ascii="Palatino Linotype"/>
          <w:color w:val="231F20"/>
          <w:sz w:val="15"/>
        </w:rPr>
        <w:t>to</w:t>
      </w:r>
      <w:r>
        <w:rPr>
          <w:rFonts w:ascii="Palatino Linotype"/>
          <w:color w:val="231F20"/>
          <w:spacing w:val="-4"/>
          <w:sz w:val="15"/>
        </w:rPr>
        <w:t> </w:t>
      </w:r>
      <w:r>
        <w:rPr>
          <w:rFonts w:ascii="Palatino Linotype"/>
          <w:color w:val="231F20"/>
          <w:sz w:val="15"/>
        </w:rPr>
        <w:t>be</w:t>
      </w:r>
      <w:r>
        <w:rPr>
          <w:rFonts w:ascii="Palatino Linotype"/>
          <w:color w:val="231F20"/>
          <w:spacing w:val="-4"/>
          <w:sz w:val="15"/>
        </w:rPr>
        <w:t> </w:t>
      </w:r>
      <w:r>
        <w:rPr>
          <w:rFonts w:ascii="Palatino Linotype"/>
          <w:color w:val="231F20"/>
          <w:sz w:val="15"/>
        </w:rPr>
        <w:t>adopted</w:t>
      </w:r>
      <w:r>
        <w:rPr>
          <w:rFonts w:ascii="Palatino Linotype"/>
          <w:color w:val="231F20"/>
          <w:spacing w:val="-5"/>
          <w:sz w:val="15"/>
        </w:rPr>
        <w:t> </w:t>
      </w:r>
      <w:r>
        <w:rPr>
          <w:rFonts w:ascii="Palatino Linotype"/>
          <w:color w:val="231F20"/>
          <w:sz w:val="15"/>
        </w:rPr>
        <w:t>in 2009.</w:t>
      </w:r>
    </w:p>
    <w:p>
      <w:pPr>
        <w:pStyle w:val="ListParagraph"/>
        <w:numPr>
          <w:ilvl w:val="0"/>
          <w:numId w:val="2"/>
        </w:numPr>
        <w:tabs>
          <w:tab w:pos="440" w:val="left" w:leader="none"/>
        </w:tabs>
        <w:spacing w:line="216" w:lineRule="auto" w:before="0" w:after="0"/>
        <w:ind w:left="100" w:right="121" w:firstLine="182"/>
        <w:jc w:val="both"/>
        <w:rPr>
          <w:sz w:val="15"/>
        </w:rPr>
      </w:pPr>
      <w:r>
        <w:rPr>
          <w:color w:val="231F20"/>
          <w:sz w:val="15"/>
        </w:rPr>
        <w:t>Egeland, J., ‘Towards a stronger humanitarian response system’, </w:t>
      </w:r>
      <w:r>
        <w:rPr>
          <w:i/>
          <w:color w:val="231F20"/>
          <w:sz w:val="15"/>
        </w:rPr>
        <w:t>Forced Migration Review</w:t>
      </w:r>
      <w:r>
        <w:rPr>
          <w:color w:val="231F20"/>
          <w:sz w:val="15"/>
        </w:rPr>
        <w:t>, Supplement, Oct. 2005, pp.</w:t>
      </w:r>
      <w:r>
        <w:rPr>
          <w:color w:val="231F20"/>
          <w:spacing w:val="-17"/>
          <w:sz w:val="15"/>
        </w:rPr>
        <w:t> </w:t>
      </w:r>
      <w:r>
        <w:rPr>
          <w:color w:val="231F20"/>
          <w:sz w:val="15"/>
        </w:rPr>
        <w:t>4–5.</w:t>
      </w:r>
    </w:p>
    <w:p>
      <w:pPr>
        <w:pStyle w:val="ListParagraph"/>
        <w:numPr>
          <w:ilvl w:val="0"/>
          <w:numId w:val="2"/>
        </w:numPr>
        <w:tabs>
          <w:tab w:pos="440" w:val="left" w:leader="none"/>
        </w:tabs>
        <w:spacing w:line="216" w:lineRule="auto" w:before="0" w:after="0"/>
        <w:ind w:left="100" w:right="121" w:firstLine="182"/>
        <w:jc w:val="both"/>
        <w:rPr>
          <w:sz w:val="15"/>
        </w:rPr>
      </w:pPr>
      <w:r>
        <w:rPr>
          <w:color w:val="231F20"/>
          <w:sz w:val="15"/>
        </w:rPr>
        <w:t>Hathaway, J.C., ‘Forced migration studies: could we agree just to ‘date?’, </w:t>
      </w:r>
      <w:r>
        <w:rPr>
          <w:i/>
          <w:color w:val="231F20"/>
          <w:sz w:val="15"/>
        </w:rPr>
        <w:t>Journal of Refugee </w:t>
      </w:r>
      <w:r>
        <w:rPr>
          <w:i/>
          <w:color w:val="231F20"/>
          <w:sz w:val="15"/>
        </w:rPr>
        <w:t>Studies</w:t>
      </w:r>
      <w:r>
        <w:rPr>
          <w:color w:val="231F20"/>
          <w:sz w:val="15"/>
        </w:rPr>
        <w:t>,</w:t>
      </w:r>
      <w:r>
        <w:rPr>
          <w:color w:val="231F20"/>
          <w:spacing w:val="-5"/>
          <w:sz w:val="15"/>
        </w:rPr>
        <w:t> </w:t>
      </w:r>
      <w:r>
        <w:rPr>
          <w:color w:val="231F20"/>
          <w:sz w:val="15"/>
        </w:rPr>
        <w:t>vol.</w:t>
      </w:r>
      <w:r>
        <w:rPr>
          <w:color w:val="231F20"/>
          <w:spacing w:val="-4"/>
          <w:sz w:val="15"/>
        </w:rPr>
        <w:t> </w:t>
      </w:r>
      <w:r>
        <w:rPr>
          <w:color w:val="231F20"/>
          <w:sz w:val="15"/>
        </w:rPr>
        <w:t>20,</w:t>
      </w:r>
      <w:r>
        <w:rPr>
          <w:color w:val="231F20"/>
          <w:spacing w:val="-4"/>
          <w:sz w:val="15"/>
        </w:rPr>
        <w:t> </w:t>
      </w:r>
      <w:r>
        <w:rPr>
          <w:color w:val="231F20"/>
          <w:sz w:val="15"/>
        </w:rPr>
        <w:t>no.</w:t>
      </w:r>
      <w:r>
        <w:rPr>
          <w:color w:val="231F20"/>
          <w:spacing w:val="-4"/>
          <w:sz w:val="15"/>
        </w:rPr>
        <w:t> </w:t>
      </w:r>
      <w:r>
        <w:rPr>
          <w:color w:val="231F20"/>
          <w:sz w:val="15"/>
        </w:rPr>
        <w:t>3</w:t>
      </w:r>
      <w:r>
        <w:rPr>
          <w:color w:val="231F20"/>
          <w:spacing w:val="-4"/>
          <w:sz w:val="15"/>
        </w:rPr>
        <w:t> </w:t>
      </w:r>
      <w:r>
        <w:rPr>
          <w:color w:val="231F20"/>
          <w:sz w:val="15"/>
        </w:rPr>
        <w:t>(Sep.</w:t>
      </w:r>
      <w:r>
        <w:rPr>
          <w:color w:val="231F20"/>
          <w:spacing w:val="-4"/>
          <w:sz w:val="15"/>
        </w:rPr>
        <w:t> </w:t>
      </w:r>
      <w:r>
        <w:rPr>
          <w:color w:val="231F20"/>
          <w:sz w:val="15"/>
        </w:rPr>
        <w:t>2007),</w:t>
      </w:r>
      <w:r>
        <w:rPr>
          <w:color w:val="231F20"/>
          <w:spacing w:val="-4"/>
          <w:sz w:val="15"/>
        </w:rPr>
        <w:t> </w:t>
      </w:r>
      <w:r>
        <w:rPr>
          <w:color w:val="231F20"/>
          <w:sz w:val="15"/>
        </w:rPr>
        <w:t>pp.</w:t>
      </w:r>
      <w:r>
        <w:rPr>
          <w:color w:val="231F20"/>
          <w:spacing w:val="-4"/>
          <w:sz w:val="15"/>
        </w:rPr>
        <w:t> </w:t>
      </w:r>
      <w:r>
        <w:rPr>
          <w:color w:val="231F20"/>
          <w:sz w:val="15"/>
        </w:rPr>
        <w:t>350–69.</w:t>
      </w:r>
    </w:p>
    <w:p>
      <w:pPr>
        <w:pStyle w:val="ListParagraph"/>
        <w:numPr>
          <w:ilvl w:val="0"/>
          <w:numId w:val="2"/>
        </w:numPr>
        <w:tabs>
          <w:tab w:pos="440" w:val="left" w:leader="none"/>
        </w:tabs>
        <w:spacing w:line="213" w:lineRule="auto" w:before="0" w:after="0"/>
        <w:ind w:left="100" w:right="121" w:firstLine="182"/>
        <w:jc w:val="both"/>
        <w:rPr>
          <w:sz w:val="15"/>
        </w:rPr>
      </w:pPr>
      <w:r>
        <w:rPr>
          <w:color w:val="231F20"/>
          <w:sz w:val="15"/>
        </w:rPr>
        <w:t>Martin, S. F. et al., </w:t>
      </w:r>
      <w:r>
        <w:rPr>
          <w:i/>
          <w:color w:val="231F20"/>
          <w:sz w:val="15"/>
        </w:rPr>
        <w:t>The Uprooted: Improving Humanitarian Responses to Forced Migration </w:t>
      </w:r>
      <w:r>
        <w:rPr>
          <w:color w:val="231F20"/>
          <w:sz w:val="15"/>
        </w:rPr>
        <w:t>(Lexington</w:t>
      </w:r>
      <w:r>
        <w:rPr>
          <w:color w:val="231F20"/>
          <w:spacing w:val="-8"/>
          <w:sz w:val="15"/>
        </w:rPr>
        <w:t> </w:t>
      </w:r>
      <w:r>
        <w:rPr>
          <w:color w:val="231F20"/>
          <w:sz w:val="15"/>
        </w:rPr>
        <w:t>Books:</w:t>
      </w:r>
      <w:r>
        <w:rPr>
          <w:color w:val="231F20"/>
          <w:spacing w:val="-8"/>
          <w:sz w:val="15"/>
        </w:rPr>
        <w:t> </w:t>
      </w:r>
      <w:r>
        <w:rPr>
          <w:color w:val="231F20"/>
          <w:sz w:val="15"/>
        </w:rPr>
        <w:t>Lanham,</w:t>
      </w:r>
      <w:r>
        <w:rPr>
          <w:color w:val="231F20"/>
          <w:spacing w:val="-8"/>
          <w:sz w:val="15"/>
        </w:rPr>
        <w:t> </w:t>
      </w:r>
      <w:r>
        <w:rPr>
          <w:color w:val="231F20"/>
          <w:sz w:val="15"/>
        </w:rPr>
        <w:t>MD,</w:t>
      </w:r>
      <w:r>
        <w:rPr>
          <w:color w:val="231F20"/>
          <w:spacing w:val="-8"/>
          <w:sz w:val="15"/>
        </w:rPr>
        <w:t> </w:t>
      </w:r>
      <w:r>
        <w:rPr>
          <w:color w:val="231F20"/>
          <w:sz w:val="15"/>
        </w:rPr>
        <w:t>2006),</w:t>
      </w:r>
      <w:r>
        <w:rPr>
          <w:color w:val="231F20"/>
          <w:spacing w:val="-8"/>
          <w:sz w:val="15"/>
        </w:rPr>
        <w:t> </w:t>
      </w:r>
      <w:r>
        <w:rPr>
          <w:color w:val="231F20"/>
          <w:sz w:val="15"/>
        </w:rPr>
        <w:t>pp.</w:t>
      </w:r>
      <w:r>
        <w:rPr>
          <w:color w:val="231F20"/>
          <w:spacing w:val="-8"/>
          <w:sz w:val="15"/>
        </w:rPr>
        <w:t> </w:t>
      </w:r>
      <w:r>
        <w:rPr>
          <w:color w:val="231F20"/>
          <w:sz w:val="15"/>
        </w:rPr>
        <w:t>121–22;</w:t>
      </w:r>
      <w:r>
        <w:rPr>
          <w:color w:val="231F20"/>
          <w:spacing w:val="-7"/>
          <w:sz w:val="15"/>
        </w:rPr>
        <w:t> </w:t>
      </w:r>
      <w:r>
        <w:rPr>
          <w:color w:val="231F20"/>
          <w:sz w:val="15"/>
        </w:rPr>
        <w:t>see</w:t>
      </w:r>
      <w:r>
        <w:rPr>
          <w:color w:val="231F20"/>
          <w:spacing w:val="-8"/>
          <w:sz w:val="15"/>
        </w:rPr>
        <w:t> </w:t>
      </w:r>
      <w:r>
        <w:rPr>
          <w:color w:val="231F20"/>
          <w:sz w:val="15"/>
        </w:rPr>
        <w:t>also</w:t>
      </w:r>
      <w:r>
        <w:rPr>
          <w:color w:val="231F20"/>
          <w:spacing w:val="-8"/>
          <w:sz w:val="15"/>
        </w:rPr>
        <w:t> </w:t>
      </w:r>
      <w:r>
        <w:rPr>
          <w:color w:val="231F20"/>
          <w:sz w:val="15"/>
        </w:rPr>
        <w:t>Mutahi,</w:t>
      </w:r>
      <w:r>
        <w:rPr>
          <w:color w:val="231F20"/>
          <w:spacing w:val="-8"/>
          <w:sz w:val="15"/>
        </w:rPr>
        <w:t> </w:t>
      </w:r>
      <w:r>
        <w:rPr>
          <w:color w:val="231F20"/>
          <w:sz w:val="15"/>
        </w:rPr>
        <w:t>P.,</w:t>
      </w:r>
      <w:r>
        <w:rPr>
          <w:color w:val="231F20"/>
          <w:spacing w:val="-8"/>
          <w:sz w:val="15"/>
        </w:rPr>
        <w:t> </w:t>
      </w:r>
      <w:r>
        <w:rPr>
          <w:color w:val="231F20"/>
          <w:sz w:val="15"/>
        </w:rPr>
        <w:t>‘How</w:t>
      </w:r>
      <w:r>
        <w:rPr>
          <w:color w:val="231F20"/>
          <w:spacing w:val="-8"/>
          <w:sz w:val="15"/>
        </w:rPr>
        <w:t> </w:t>
      </w:r>
      <w:r>
        <w:rPr>
          <w:color w:val="231F20"/>
          <w:sz w:val="15"/>
        </w:rPr>
        <w:t>the</w:t>
      </w:r>
      <w:r>
        <w:rPr>
          <w:color w:val="231F20"/>
          <w:spacing w:val="-8"/>
          <w:sz w:val="15"/>
        </w:rPr>
        <w:t> </w:t>
      </w:r>
      <w:r>
        <w:rPr>
          <w:color w:val="231F20"/>
          <w:sz w:val="15"/>
        </w:rPr>
        <w:t>AU</w:t>
      </w:r>
      <w:r>
        <w:rPr>
          <w:color w:val="231F20"/>
          <w:spacing w:val="-7"/>
          <w:sz w:val="15"/>
        </w:rPr>
        <w:t> </w:t>
      </w:r>
      <w:r>
        <w:rPr>
          <w:color w:val="231F20"/>
          <w:sz w:val="15"/>
        </w:rPr>
        <w:t>fails</w:t>
      </w:r>
      <w:r>
        <w:rPr>
          <w:color w:val="231F20"/>
          <w:spacing w:val="-8"/>
          <w:sz w:val="15"/>
        </w:rPr>
        <w:t> </w:t>
      </w:r>
      <w:r>
        <w:rPr>
          <w:color w:val="231F20"/>
          <w:sz w:val="15"/>
        </w:rPr>
        <w:t>the</w:t>
      </w:r>
      <w:r>
        <w:rPr>
          <w:color w:val="231F20"/>
          <w:spacing w:val="-8"/>
          <w:sz w:val="15"/>
        </w:rPr>
        <w:t> </w:t>
      </w:r>
      <w:r>
        <w:rPr>
          <w:color w:val="231F20"/>
          <w:sz w:val="15"/>
        </w:rPr>
        <w:t>conti- nent’s</w:t>
      </w:r>
      <w:r>
        <w:rPr>
          <w:color w:val="231F20"/>
          <w:spacing w:val="-6"/>
          <w:sz w:val="15"/>
        </w:rPr>
        <w:t> </w:t>
      </w:r>
      <w:r>
        <w:rPr>
          <w:color w:val="231F20"/>
          <w:sz w:val="15"/>
        </w:rPr>
        <w:t>IDPs’,</w:t>
      </w:r>
      <w:r>
        <w:rPr>
          <w:color w:val="231F20"/>
          <w:spacing w:val="-6"/>
          <w:sz w:val="15"/>
        </w:rPr>
        <w:t> </w:t>
      </w:r>
      <w:r>
        <w:rPr>
          <w:color w:val="231F20"/>
          <w:sz w:val="15"/>
        </w:rPr>
        <w:t>allAfrica.com,</w:t>
      </w:r>
      <w:r>
        <w:rPr>
          <w:color w:val="231F20"/>
          <w:spacing w:val="-5"/>
          <w:sz w:val="15"/>
        </w:rPr>
        <w:t> </w:t>
      </w:r>
      <w:r>
        <w:rPr>
          <w:color w:val="231F20"/>
          <w:sz w:val="15"/>
        </w:rPr>
        <w:t>27</w:t>
      </w:r>
      <w:r>
        <w:rPr>
          <w:color w:val="231F20"/>
          <w:spacing w:val="-6"/>
          <w:sz w:val="15"/>
        </w:rPr>
        <w:t> </w:t>
      </w:r>
      <w:r>
        <w:rPr>
          <w:color w:val="231F20"/>
          <w:sz w:val="15"/>
        </w:rPr>
        <w:t>Aug.</w:t>
      </w:r>
      <w:r>
        <w:rPr>
          <w:color w:val="231F20"/>
          <w:spacing w:val="-6"/>
          <w:sz w:val="15"/>
        </w:rPr>
        <w:t> </w:t>
      </w:r>
      <w:r>
        <w:rPr>
          <w:color w:val="231F20"/>
          <w:sz w:val="15"/>
        </w:rPr>
        <w:t>2008.</w:t>
      </w:r>
    </w:p>
    <w:p>
      <w:pPr>
        <w:pStyle w:val="ListParagraph"/>
        <w:numPr>
          <w:ilvl w:val="0"/>
          <w:numId w:val="2"/>
        </w:numPr>
        <w:tabs>
          <w:tab w:pos="440" w:val="left" w:leader="none"/>
        </w:tabs>
        <w:spacing w:line="211" w:lineRule="auto" w:before="0" w:after="0"/>
        <w:ind w:left="100" w:right="121" w:firstLine="182"/>
        <w:jc w:val="both"/>
        <w:rPr>
          <w:sz w:val="15"/>
        </w:rPr>
      </w:pPr>
      <w:r>
        <w:rPr>
          <w:color w:val="231F20"/>
          <w:sz w:val="15"/>
        </w:rPr>
        <w:t>Guterres, A., Opening Statement at the 58th Session of the Executive Committee of the High Commissioner’s</w:t>
      </w:r>
      <w:r>
        <w:rPr>
          <w:color w:val="231F20"/>
          <w:spacing w:val="-9"/>
          <w:sz w:val="15"/>
        </w:rPr>
        <w:t> </w:t>
      </w:r>
      <w:r>
        <w:rPr>
          <w:color w:val="231F20"/>
          <w:sz w:val="15"/>
        </w:rPr>
        <w:t>Programme,</w:t>
      </w:r>
      <w:r>
        <w:rPr>
          <w:color w:val="231F20"/>
          <w:spacing w:val="-9"/>
          <w:sz w:val="15"/>
        </w:rPr>
        <w:t> </w:t>
      </w:r>
      <w:r>
        <w:rPr>
          <w:color w:val="231F20"/>
          <w:sz w:val="15"/>
        </w:rPr>
        <w:t>Geneva,</w:t>
      </w:r>
      <w:r>
        <w:rPr>
          <w:color w:val="231F20"/>
          <w:spacing w:val="-9"/>
          <w:sz w:val="15"/>
        </w:rPr>
        <w:t> </w:t>
      </w:r>
      <w:r>
        <w:rPr>
          <w:color w:val="231F20"/>
          <w:sz w:val="15"/>
        </w:rPr>
        <w:t>1</w:t>
      </w:r>
      <w:r>
        <w:rPr>
          <w:color w:val="231F20"/>
          <w:spacing w:val="-9"/>
          <w:sz w:val="15"/>
        </w:rPr>
        <w:t> </w:t>
      </w:r>
      <w:r>
        <w:rPr>
          <w:color w:val="231F20"/>
          <w:sz w:val="15"/>
        </w:rPr>
        <w:t>Oct.</w:t>
      </w:r>
      <w:r>
        <w:rPr>
          <w:color w:val="231F20"/>
          <w:spacing w:val="-8"/>
          <w:sz w:val="15"/>
        </w:rPr>
        <w:t> </w:t>
      </w:r>
      <w:r>
        <w:rPr>
          <w:color w:val="231F20"/>
          <w:sz w:val="15"/>
        </w:rPr>
        <w:t>2007,</w:t>
      </w:r>
      <w:r>
        <w:rPr>
          <w:color w:val="231F20"/>
          <w:spacing w:val="-9"/>
          <w:sz w:val="15"/>
        </w:rPr>
        <w:t> </w:t>
      </w:r>
      <w:r>
        <w:rPr>
          <w:color w:val="231F20"/>
          <w:sz w:val="15"/>
        </w:rPr>
        <w:t>available</w:t>
      </w:r>
      <w:r>
        <w:rPr>
          <w:color w:val="231F20"/>
          <w:spacing w:val="-9"/>
          <w:sz w:val="15"/>
        </w:rPr>
        <w:t> </w:t>
      </w:r>
      <w:r>
        <w:rPr>
          <w:color w:val="231F20"/>
          <w:sz w:val="15"/>
        </w:rPr>
        <w:t>at</w:t>
      </w:r>
      <w:r>
        <w:rPr>
          <w:color w:val="231F20"/>
          <w:spacing w:val="-9"/>
          <w:sz w:val="15"/>
        </w:rPr>
        <w:t> </w:t>
      </w:r>
      <w:hyperlink r:id="rId23">
        <w:r>
          <w:rPr>
            <w:color w:val="231F20"/>
            <w:sz w:val="15"/>
          </w:rPr>
          <w:t>&lt;http://www.unhcr.org/&gt;.</w:t>
        </w:r>
      </w:hyperlink>
    </w:p>
    <w:p>
      <w:pPr>
        <w:pStyle w:val="ListParagraph"/>
        <w:numPr>
          <w:ilvl w:val="0"/>
          <w:numId w:val="2"/>
        </w:numPr>
        <w:tabs>
          <w:tab w:pos="440" w:val="left" w:leader="none"/>
        </w:tabs>
        <w:spacing w:line="213" w:lineRule="auto" w:before="0" w:after="0"/>
        <w:ind w:left="100" w:right="120" w:firstLine="182"/>
        <w:jc w:val="both"/>
        <w:rPr>
          <w:sz w:val="15"/>
        </w:rPr>
      </w:pPr>
      <w:r>
        <w:rPr>
          <w:color w:val="231F20"/>
          <w:sz w:val="15"/>
        </w:rPr>
        <w:t>Benn,</w:t>
      </w:r>
      <w:r>
        <w:rPr>
          <w:color w:val="231F20"/>
          <w:spacing w:val="-11"/>
          <w:sz w:val="15"/>
        </w:rPr>
        <w:t> </w:t>
      </w:r>
      <w:r>
        <w:rPr>
          <w:color w:val="231F20"/>
          <w:sz w:val="15"/>
        </w:rPr>
        <w:t>H.,</w:t>
      </w:r>
      <w:r>
        <w:rPr>
          <w:color w:val="231F20"/>
          <w:spacing w:val="-10"/>
          <w:sz w:val="15"/>
        </w:rPr>
        <w:t> </w:t>
      </w:r>
      <w:r>
        <w:rPr>
          <w:color w:val="231F20"/>
          <w:sz w:val="15"/>
        </w:rPr>
        <w:t>‘Reform</w:t>
      </w:r>
      <w:r>
        <w:rPr>
          <w:color w:val="231F20"/>
          <w:spacing w:val="-10"/>
          <w:sz w:val="15"/>
        </w:rPr>
        <w:t> </w:t>
      </w:r>
      <w:r>
        <w:rPr>
          <w:color w:val="231F20"/>
          <w:sz w:val="15"/>
        </w:rPr>
        <w:t>of</w:t>
      </w:r>
      <w:r>
        <w:rPr>
          <w:color w:val="231F20"/>
          <w:spacing w:val="-10"/>
          <w:sz w:val="15"/>
        </w:rPr>
        <w:t> </w:t>
      </w:r>
      <w:r>
        <w:rPr>
          <w:color w:val="231F20"/>
          <w:sz w:val="15"/>
        </w:rPr>
        <w:t>the</w:t>
      </w:r>
      <w:r>
        <w:rPr>
          <w:color w:val="231F20"/>
          <w:spacing w:val="-10"/>
          <w:sz w:val="15"/>
        </w:rPr>
        <w:t> </w:t>
      </w:r>
      <w:r>
        <w:rPr>
          <w:color w:val="231F20"/>
          <w:sz w:val="15"/>
        </w:rPr>
        <w:t>international</w:t>
      </w:r>
      <w:r>
        <w:rPr>
          <w:color w:val="231F20"/>
          <w:spacing w:val="-11"/>
          <w:sz w:val="15"/>
        </w:rPr>
        <w:t> </w:t>
      </w:r>
      <w:r>
        <w:rPr>
          <w:color w:val="231F20"/>
          <w:sz w:val="15"/>
        </w:rPr>
        <w:t>humanitarian</w:t>
      </w:r>
      <w:r>
        <w:rPr>
          <w:color w:val="231F20"/>
          <w:spacing w:val="-10"/>
          <w:sz w:val="15"/>
        </w:rPr>
        <w:t> </w:t>
      </w:r>
      <w:r>
        <w:rPr>
          <w:color w:val="231F20"/>
          <w:sz w:val="15"/>
        </w:rPr>
        <w:t>system’,</w:t>
      </w:r>
      <w:r>
        <w:rPr>
          <w:color w:val="231F20"/>
          <w:spacing w:val="-10"/>
          <w:sz w:val="15"/>
        </w:rPr>
        <w:t> </w:t>
      </w:r>
      <w:r>
        <w:rPr>
          <w:color w:val="231F20"/>
          <w:sz w:val="15"/>
        </w:rPr>
        <w:t>Speech</w:t>
      </w:r>
      <w:r>
        <w:rPr>
          <w:color w:val="231F20"/>
          <w:spacing w:val="-10"/>
          <w:sz w:val="15"/>
        </w:rPr>
        <w:t> </w:t>
      </w:r>
      <w:r>
        <w:rPr>
          <w:color w:val="231F20"/>
          <w:sz w:val="15"/>
        </w:rPr>
        <w:t>delivered</w:t>
      </w:r>
      <w:r>
        <w:rPr>
          <w:color w:val="231F20"/>
          <w:spacing w:val="-10"/>
          <w:sz w:val="15"/>
        </w:rPr>
        <w:t> </w:t>
      </w:r>
      <w:r>
        <w:rPr>
          <w:color w:val="231F20"/>
          <w:sz w:val="15"/>
        </w:rPr>
        <w:t>at</w:t>
      </w:r>
      <w:r>
        <w:rPr>
          <w:color w:val="231F20"/>
          <w:spacing w:val="-11"/>
          <w:sz w:val="15"/>
        </w:rPr>
        <w:t> </w:t>
      </w:r>
      <w:r>
        <w:rPr>
          <w:color w:val="231F20"/>
          <w:sz w:val="15"/>
        </w:rPr>
        <w:t>the</w:t>
      </w:r>
      <w:r>
        <w:rPr>
          <w:color w:val="231F20"/>
          <w:spacing w:val="-10"/>
          <w:sz w:val="15"/>
        </w:rPr>
        <w:t> </w:t>
      </w:r>
      <w:r>
        <w:rPr>
          <w:color w:val="231F20"/>
          <w:sz w:val="15"/>
        </w:rPr>
        <w:t>Overseas Development</w:t>
      </w:r>
      <w:r>
        <w:rPr>
          <w:color w:val="231F20"/>
          <w:spacing w:val="-17"/>
          <w:sz w:val="15"/>
        </w:rPr>
        <w:t> </w:t>
      </w:r>
      <w:r>
        <w:rPr>
          <w:color w:val="231F20"/>
          <w:sz w:val="15"/>
        </w:rPr>
        <w:t>Institute’,</w:t>
      </w:r>
      <w:r>
        <w:rPr>
          <w:color w:val="231F20"/>
          <w:spacing w:val="-17"/>
          <w:sz w:val="15"/>
        </w:rPr>
        <w:t> </w:t>
      </w:r>
      <w:r>
        <w:rPr>
          <w:color w:val="231F20"/>
          <w:sz w:val="15"/>
        </w:rPr>
        <w:t>London,</w:t>
      </w:r>
      <w:r>
        <w:rPr>
          <w:color w:val="231F20"/>
          <w:spacing w:val="-16"/>
          <w:sz w:val="15"/>
        </w:rPr>
        <w:t> </w:t>
      </w:r>
      <w:r>
        <w:rPr>
          <w:color w:val="231F20"/>
          <w:sz w:val="15"/>
        </w:rPr>
        <w:t>15</w:t>
      </w:r>
      <w:r>
        <w:rPr>
          <w:color w:val="231F20"/>
          <w:spacing w:val="-17"/>
          <w:sz w:val="15"/>
        </w:rPr>
        <w:t> </w:t>
      </w:r>
      <w:r>
        <w:rPr>
          <w:color w:val="231F20"/>
          <w:sz w:val="15"/>
        </w:rPr>
        <w:t>Dec.</w:t>
      </w:r>
      <w:r>
        <w:rPr>
          <w:color w:val="231F20"/>
          <w:spacing w:val="-16"/>
          <w:sz w:val="15"/>
        </w:rPr>
        <w:t> </w:t>
      </w:r>
      <w:r>
        <w:rPr>
          <w:color w:val="231F20"/>
          <w:sz w:val="15"/>
        </w:rPr>
        <w:t>2004,</w:t>
      </w:r>
      <w:r>
        <w:rPr>
          <w:color w:val="231F20"/>
          <w:spacing w:val="-17"/>
          <w:sz w:val="15"/>
        </w:rPr>
        <w:t> </w:t>
      </w:r>
      <w:hyperlink r:id="rId24">
        <w:r>
          <w:rPr>
            <w:color w:val="231F20"/>
            <w:sz w:val="15"/>
          </w:rPr>
          <w:t>&lt;http://www.odi.org.uk/events/Benn15Dec/Humani</w:t>
        </w:r>
      </w:hyperlink>
      <w:r>
        <w:rPr>
          <w:color w:val="231F20"/>
          <w:sz w:val="15"/>
        </w:rPr>
        <w:t> tarian_Reform_speech_ﬁnal.pdf&gt;.</w:t>
      </w:r>
    </w:p>
    <w:p>
      <w:pPr>
        <w:spacing w:after="0" w:line="213" w:lineRule="auto"/>
        <w:jc w:val="both"/>
        <w:rPr>
          <w:sz w:val="15"/>
        </w:rPr>
        <w:sectPr>
          <w:pgSz w:w="8850" w:h="13270"/>
          <w:pgMar w:header="793" w:footer="0" w:top="1080" w:bottom="280" w:left="1080" w:right="1060"/>
        </w:sectPr>
      </w:pPr>
    </w:p>
    <w:p>
      <w:pPr>
        <w:pStyle w:val="BodyText"/>
        <w:spacing w:line="278" w:lineRule="auto" w:before="141"/>
        <w:ind w:right="119"/>
      </w:pPr>
      <w:r>
        <w:rPr>
          <w:color w:val="231F20"/>
        </w:rPr>
        <w:t>reinforcing.</w:t>
      </w:r>
      <w:r>
        <w:rPr>
          <w:rFonts w:ascii="Adobe Jenson Pro Lt Capt"/>
          <w:b w:val="0"/>
          <w:color w:val="231F20"/>
          <w:position w:val="6"/>
          <w:sz w:val="12"/>
        </w:rPr>
        <w:t>46 </w:t>
      </w:r>
      <w:r>
        <w:rPr>
          <w:color w:val="231F20"/>
        </w:rPr>
        <w:t>The concept of human security  includes  physical  safety  as well as political, economic, environmental, health and food</w:t>
      </w:r>
      <w:r>
        <w:rPr>
          <w:color w:val="231F20"/>
          <w:spacing w:val="34"/>
        </w:rPr>
        <w:t> </w:t>
      </w:r>
      <w:r>
        <w:rPr>
          <w:color w:val="231F20"/>
        </w:rPr>
        <w:t>security.</w:t>
      </w:r>
    </w:p>
    <w:p>
      <w:pPr>
        <w:pStyle w:val="BodyText"/>
        <w:spacing w:line="278" w:lineRule="auto"/>
        <w:ind w:right="117" w:firstLine="180"/>
        <w:rPr>
          <w:rFonts w:ascii="Adobe Jenson Pro Lt Capt" w:hAnsi="Adobe Jenson Pro Lt Capt"/>
          <w:b w:val="0"/>
          <w:sz w:val="12"/>
        </w:rPr>
      </w:pPr>
      <w:r>
        <w:rPr>
          <w:color w:val="231F20"/>
        </w:rPr>
        <w:t>The changed focus reﬂects new and  evolving  concepts  of  sovereignty.  For much of the 20th century traditional notions of sovereignty prohibited attention to protecting people inside their countries. To be sure, from the 1950s the ICRC had a special mandate to protect civilians in armed con- ﬂicts, and, since the 1970s, it could explicitly act in intrastate armed con- ﬂicts. The UNHCR also began in the 1970s on a selective basis to assist people displaced inside their countries. However,  basically  throughout  most of the 20th century sovereignty and non-interference  in  internal  affairs</w:t>
      </w:r>
      <w:r>
        <w:rPr>
          <w:color w:val="231F20"/>
          <w:spacing w:val="8"/>
        </w:rPr>
        <w:t> </w:t>
      </w:r>
      <w:r>
        <w:rPr>
          <w:color w:val="231F20"/>
        </w:rPr>
        <w:t>were</w:t>
      </w:r>
      <w:r>
        <w:rPr>
          <w:color w:val="231F20"/>
          <w:spacing w:val="9"/>
        </w:rPr>
        <w:t> </w:t>
      </w:r>
      <w:r>
        <w:rPr>
          <w:color w:val="231F20"/>
        </w:rPr>
        <w:t>strictly</w:t>
      </w:r>
      <w:r>
        <w:rPr>
          <w:color w:val="231F20"/>
          <w:spacing w:val="9"/>
        </w:rPr>
        <w:t> </w:t>
      </w:r>
      <w:r>
        <w:rPr>
          <w:color w:val="231F20"/>
        </w:rPr>
        <w:t>applied,</w:t>
      </w:r>
      <w:r>
        <w:rPr>
          <w:color w:val="231F20"/>
          <w:spacing w:val="9"/>
        </w:rPr>
        <w:t> </w:t>
      </w:r>
      <w:r>
        <w:rPr>
          <w:color w:val="231F20"/>
        </w:rPr>
        <w:t>as</w:t>
      </w:r>
      <w:r>
        <w:rPr>
          <w:color w:val="231F20"/>
          <w:spacing w:val="9"/>
        </w:rPr>
        <w:t> </w:t>
      </w:r>
      <w:r>
        <w:rPr>
          <w:color w:val="231F20"/>
        </w:rPr>
        <w:t>set</w:t>
      </w:r>
      <w:r>
        <w:rPr>
          <w:color w:val="231F20"/>
          <w:spacing w:val="8"/>
        </w:rPr>
        <w:t> </w:t>
      </w:r>
      <w:r>
        <w:rPr>
          <w:color w:val="231F20"/>
        </w:rPr>
        <w:t>forth</w:t>
      </w:r>
      <w:r>
        <w:rPr>
          <w:color w:val="231F20"/>
          <w:spacing w:val="9"/>
        </w:rPr>
        <w:t> </w:t>
      </w:r>
      <w:r>
        <w:rPr>
          <w:color w:val="231F20"/>
        </w:rPr>
        <w:t>in</w:t>
      </w:r>
      <w:r>
        <w:rPr>
          <w:color w:val="231F20"/>
          <w:spacing w:val="9"/>
        </w:rPr>
        <w:t> </w:t>
      </w:r>
      <w:r>
        <w:rPr>
          <w:color w:val="231F20"/>
        </w:rPr>
        <w:t>Article</w:t>
      </w:r>
      <w:r>
        <w:rPr>
          <w:color w:val="231F20"/>
          <w:spacing w:val="9"/>
        </w:rPr>
        <w:t> </w:t>
      </w:r>
      <w:r>
        <w:rPr>
          <w:color w:val="231F20"/>
        </w:rPr>
        <w:t>2(7)</w:t>
      </w:r>
      <w:r>
        <w:rPr>
          <w:color w:val="231F20"/>
          <w:spacing w:val="9"/>
        </w:rPr>
        <w:t> </w:t>
      </w:r>
      <w:r>
        <w:rPr>
          <w:color w:val="231F20"/>
        </w:rPr>
        <w:t>of</w:t>
      </w:r>
      <w:r>
        <w:rPr>
          <w:color w:val="231F20"/>
          <w:spacing w:val="9"/>
        </w:rPr>
        <w:t> </w:t>
      </w:r>
      <w:r>
        <w:rPr>
          <w:color w:val="231F20"/>
        </w:rPr>
        <w:t>the</w:t>
      </w:r>
      <w:r>
        <w:rPr>
          <w:color w:val="231F20"/>
          <w:spacing w:val="8"/>
        </w:rPr>
        <w:t> </w:t>
      </w:r>
      <w:r>
        <w:rPr>
          <w:color w:val="231F20"/>
        </w:rPr>
        <w:t>UN</w:t>
      </w:r>
      <w:r>
        <w:rPr>
          <w:color w:val="231F20"/>
          <w:spacing w:val="9"/>
        </w:rPr>
        <w:t> </w:t>
      </w:r>
      <w:r>
        <w:rPr>
          <w:color w:val="231F20"/>
        </w:rPr>
        <w:t>Charter.</w:t>
      </w:r>
      <w:r>
        <w:rPr>
          <w:rFonts w:ascii="Adobe Jenson Pro Lt Capt" w:hAnsi="Adobe Jenson Pro Lt Capt"/>
          <w:b w:val="0"/>
          <w:color w:val="231F20"/>
          <w:position w:val="6"/>
          <w:sz w:val="12"/>
        </w:rPr>
        <w:t>47</w:t>
      </w:r>
    </w:p>
    <w:p>
      <w:pPr>
        <w:pStyle w:val="BodyText"/>
        <w:spacing w:line="278" w:lineRule="auto"/>
        <w:ind w:right="116" w:firstLine="180"/>
      </w:pPr>
      <w:r>
        <w:rPr>
          <w:color w:val="231F20"/>
        </w:rPr>
        <w:t>By the 1990s a shift was evident and concerted  international  efforts  began to be undertaken to assist and protect people  forcibly  displaced  inside their own countries. Sadako Ogata, the UN High Commissioner for Refugees, expanded the UNHCR’s ‘operational coverage’ to include IDPs in emergencies, especially when they were mixed in with  refugee  popu-  lations. In her memoir, she recalls that she posed the following question to herself: ‘Should we follow the legal dictate of not exercising our mandate inside the border and thereby refrain from helping those prevented from crossing or should we stand more on realistic humanitarian grounds and extend whatever support we could?’</w:t>
      </w:r>
      <w:r>
        <w:rPr>
          <w:rFonts w:ascii="Adobe Jenson Pro Lt Capt" w:hAnsi="Adobe Jenson Pro Lt Capt"/>
          <w:b w:val="0"/>
          <w:color w:val="231F20"/>
          <w:position w:val="6"/>
          <w:sz w:val="12"/>
        </w:rPr>
        <w:t>48 </w:t>
      </w:r>
      <w:r>
        <w:rPr>
          <w:color w:val="231F20"/>
        </w:rPr>
        <w:t>She chose the latter option, and the UNHCR undertook to protect displaced Kurds inside Iraq in 1991, and in    the former Yugoslavia the UNHCR became the lead agency for  refugees, IDPs and other affected populations. Massive internal displacement thus became a leading entry point for international humanitarian</w:t>
      </w:r>
      <w:r>
        <w:rPr>
          <w:color w:val="231F20"/>
          <w:spacing w:val="21"/>
        </w:rPr>
        <w:t> </w:t>
      </w:r>
      <w:r>
        <w:rPr>
          <w:color w:val="231F20"/>
        </w:rPr>
        <w:t>action.</w:t>
      </w:r>
    </w:p>
    <w:p>
      <w:pPr>
        <w:pStyle w:val="BodyText"/>
        <w:spacing w:line="278" w:lineRule="auto"/>
        <w:ind w:left="101" w:right="117" w:firstLine="180"/>
      </w:pPr>
      <w:r>
        <w:rPr>
          <w:color w:val="231F20"/>
        </w:rPr>
        <w:t>When governments obstructed access to populations at risk or delib- erately subjected them to starvation and other abuses, humanitarian and human rights advocates insisted that the international community has a right,</w:t>
      </w:r>
      <w:r>
        <w:rPr>
          <w:color w:val="231F20"/>
          <w:spacing w:val="10"/>
        </w:rPr>
        <w:t> </w:t>
      </w:r>
      <w:r>
        <w:rPr>
          <w:color w:val="231F20"/>
        </w:rPr>
        <w:t>and</w:t>
      </w:r>
      <w:r>
        <w:rPr>
          <w:color w:val="231F20"/>
          <w:spacing w:val="11"/>
        </w:rPr>
        <w:t> </w:t>
      </w:r>
      <w:r>
        <w:rPr>
          <w:color w:val="231F20"/>
        </w:rPr>
        <w:t>even</w:t>
      </w:r>
      <w:r>
        <w:rPr>
          <w:color w:val="231F20"/>
          <w:spacing w:val="10"/>
        </w:rPr>
        <w:t> </w:t>
      </w:r>
      <w:r>
        <w:rPr>
          <w:color w:val="231F20"/>
        </w:rPr>
        <w:t>a</w:t>
      </w:r>
      <w:r>
        <w:rPr>
          <w:color w:val="231F20"/>
          <w:spacing w:val="11"/>
        </w:rPr>
        <w:t> </w:t>
      </w:r>
      <w:r>
        <w:rPr>
          <w:color w:val="231F20"/>
        </w:rPr>
        <w:t>responsibility,</w:t>
      </w:r>
      <w:r>
        <w:rPr>
          <w:color w:val="231F20"/>
          <w:spacing w:val="11"/>
        </w:rPr>
        <w:t> </w:t>
      </w:r>
      <w:r>
        <w:rPr>
          <w:color w:val="231F20"/>
        </w:rPr>
        <w:t>to</w:t>
      </w:r>
      <w:r>
        <w:rPr>
          <w:color w:val="231F20"/>
          <w:spacing w:val="10"/>
        </w:rPr>
        <w:t> </w:t>
      </w:r>
      <w:r>
        <w:rPr>
          <w:color w:val="231F20"/>
        </w:rPr>
        <w:t>reach</w:t>
      </w:r>
      <w:r>
        <w:rPr>
          <w:color w:val="231F20"/>
          <w:spacing w:val="11"/>
        </w:rPr>
        <w:t> </w:t>
      </w:r>
      <w:r>
        <w:rPr>
          <w:color w:val="231F20"/>
        </w:rPr>
        <w:t>those</w:t>
      </w:r>
      <w:r>
        <w:rPr>
          <w:color w:val="231F20"/>
          <w:spacing w:val="10"/>
        </w:rPr>
        <w:t> </w:t>
      </w:r>
      <w:r>
        <w:rPr>
          <w:color w:val="231F20"/>
        </w:rPr>
        <w:t>in</w:t>
      </w:r>
      <w:r>
        <w:rPr>
          <w:color w:val="231F20"/>
          <w:spacing w:val="11"/>
        </w:rPr>
        <w:t> </w:t>
      </w:r>
      <w:r>
        <w:rPr>
          <w:color w:val="231F20"/>
        </w:rPr>
        <w:t>need.</w:t>
      </w:r>
      <w:r>
        <w:rPr>
          <w:rFonts w:ascii="Adobe Jenson Pro Lt Capt"/>
          <w:b w:val="0"/>
          <w:color w:val="231F20"/>
          <w:position w:val="6"/>
          <w:sz w:val="12"/>
        </w:rPr>
        <w:t>49</w:t>
      </w:r>
      <w:r>
        <w:rPr>
          <w:rFonts w:ascii="Adobe Jenson Pro Lt Capt"/>
          <w:b w:val="0"/>
          <w:color w:val="231F20"/>
          <w:spacing w:val="27"/>
          <w:position w:val="6"/>
          <w:sz w:val="12"/>
        </w:rPr>
        <w:t> </w:t>
      </w:r>
      <w:r>
        <w:rPr>
          <w:color w:val="231F20"/>
        </w:rPr>
        <w:t>A</w:t>
      </w:r>
      <w:r>
        <w:rPr>
          <w:color w:val="231F20"/>
          <w:spacing w:val="11"/>
        </w:rPr>
        <w:t> </w:t>
      </w:r>
      <w:r>
        <w:rPr>
          <w:color w:val="231F20"/>
        </w:rPr>
        <w:t>right</w:t>
      </w:r>
      <w:r>
        <w:rPr>
          <w:color w:val="231F20"/>
          <w:spacing w:val="10"/>
        </w:rPr>
        <w:t> </w:t>
      </w:r>
      <w:r>
        <w:rPr>
          <w:color w:val="231F20"/>
        </w:rPr>
        <w:t>to</w:t>
      </w:r>
      <w:r>
        <w:rPr>
          <w:color w:val="231F20"/>
          <w:spacing w:val="11"/>
        </w:rPr>
        <w:t> </w:t>
      </w:r>
      <w:r>
        <w:rPr>
          <w:color w:val="231F20"/>
        </w:rPr>
        <w:t>humani-</w:t>
      </w:r>
    </w:p>
    <w:p>
      <w:pPr>
        <w:pStyle w:val="ListParagraph"/>
        <w:numPr>
          <w:ilvl w:val="0"/>
          <w:numId w:val="2"/>
        </w:numPr>
        <w:tabs>
          <w:tab w:pos="440" w:val="left" w:leader="none"/>
        </w:tabs>
        <w:spacing w:line="192" w:lineRule="exact" w:before="204" w:after="0"/>
        <w:ind w:left="439" w:right="0" w:hanging="157"/>
        <w:jc w:val="both"/>
        <w:rPr>
          <w:i/>
          <w:sz w:val="15"/>
        </w:rPr>
      </w:pPr>
      <w:r>
        <w:rPr>
          <w:color w:val="231F20"/>
          <w:sz w:val="15"/>
        </w:rPr>
        <w:t>See</w:t>
      </w:r>
      <w:r>
        <w:rPr>
          <w:color w:val="231F20"/>
          <w:spacing w:val="27"/>
          <w:sz w:val="15"/>
        </w:rPr>
        <w:t> </w:t>
      </w:r>
      <w:r>
        <w:rPr>
          <w:color w:val="231F20"/>
          <w:sz w:val="15"/>
        </w:rPr>
        <w:t>Evans,</w:t>
      </w:r>
      <w:r>
        <w:rPr>
          <w:color w:val="231F20"/>
          <w:spacing w:val="27"/>
          <w:sz w:val="15"/>
        </w:rPr>
        <w:t> </w:t>
      </w:r>
      <w:r>
        <w:rPr>
          <w:color w:val="231F20"/>
          <w:sz w:val="15"/>
        </w:rPr>
        <w:t>G.,</w:t>
      </w:r>
      <w:r>
        <w:rPr>
          <w:color w:val="231F20"/>
          <w:spacing w:val="28"/>
          <w:sz w:val="15"/>
        </w:rPr>
        <w:t> </w:t>
      </w:r>
      <w:r>
        <w:rPr>
          <w:i/>
          <w:color w:val="231F20"/>
          <w:sz w:val="15"/>
        </w:rPr>
        <w:t>The</w:t>
      </w:r>
      <w:r>
        <w:rPr>
          <w:i/>
          <w:color w:val="231F20"/>
          <w:spacing w:val="27"/>
          <w:sz w:val="15"/>
        </w:rPr>
        <w:t> </w:t>
      </w:r>
      <w:r>
        <w:rPr>
          <w:i/>
          <w:color w:val="231F20"/>
          <w:sz w:val="15"/>
        </w:rPr>
        <w:t>Responsibility</w:t>
      </w:r>
      <w:r>
        <w:rPr>
          <w:i/>
          <w:color w:val="231F20"/>
          <w:spacing w:val="27"/>
          <w:sz w:val="15"/>
        </w:rPr>
        <w:t> </w:t>
      </w:r>
      <w:r>
        <w:rPr>
          <w:i/>
          <w:color w:val="231F20"/>
          <w:sz w:val="15"/>
        </w:rPr>
        <w:t>to</w:t>
      </w:r>
      <w:r>
        <w:rPr>
          <w:i/>
          <w:color w:val="231F20"/>
          <w:spacing w:val="27"/>
          <w:sz w:val="15"/>
        </w:rPr>
        <w:t> </w:t>
      </w:r>
      <w:r>
        <w:rPr>
          <w:i/>
          <w:color w:val="231F20"/>
          <w:sz w:val="15"/>
        </w:rPr>
        <w:t>Protect:</w:t>
      </w:r>
      <w:r>
        <w:rPr>
          <w:i/>
          <w:color w:val="231F20"/>
          <w:spacing w:val="27"/>
          <w:sz w:val="15"/>
        </w:rPr>
        <w:t> </w:t>
      </w:r>
      <w:r>
        <w:rPr>
          <w:i/>
          <w:color w:val="231F20"/>
          <w:sz w:val="15"/>
        </w:rPr>
        <w:t>Ending</w:t>
      </w:r>
      <w:r>
        <w:rPr>
          <w:i/>
          <w:color w:val="231F20"/>
          <w:spacing w:val="27"/>
          <w:sz w:val="15"/>
        </w:rPr>
        <w:t> </w:t>
      </w:r>
      <w:r>
        <w:rPr>
          <w:i/>
          <w:color w:val="231F20"/>
          <w:sz w:val="15"/>
        </w:rPr>
        <w:t>Mass</w:t>
      </w:r>
      <w:r>
        <w:rPr>
          <w:i/>
          <w:color w:val="231F20"/>
          <w:spacing w:val="27"/>
          <w:sz w:val="15"/>
        </w:rPr>
        <w:t> </w:t>
      </w:r>
      <w:r>
        <w:rPr>
          <w:i/>
          <w:color w:val="231F20"/>
          <w:sz w:val="15"/>
        </w:rPr>
        <w:t>Atrocity</w:t>
      </w:r>
      <w:r>
        <w:rPr>
          <w:i/>
          <w:color w:val="231F20"/>
          <w:spacing w:val="27"/>
          <w:sz w:val="15"/>
        </w:rPr>
        <w:t> </w:t>
      </w:r>
      <w:r>
        <w:rPr>
          <w:i/>
          <w:color w:val="231F20"/>
          <w:sz w:val="15"/>
        </w:rPr>
        <w:t>Crimes</w:t>
      </w:r>
      <w:r>
        <w:rPr>
          <w:i/>
          <w:color w:val="231F20"/>
          <w:spacing w:val="27"/>
          <w:sz w:val="15"/>
        </w:rPr>
        <w:t> </w:t>
      </w:r>
      <w:r>
        <w:rPr>
          <w:i/>
          <w:color w:val="231F20"/>
          <w:sz w:val="15"/>
        </w:rPr>
        <w:t>Once</w:t>
      </w:r>
      <w:r>
        <w:rPr>
          <w:i/>
          <w:color w:val="231F20"/>
          <w:spacing w:val="27"/>
          <w:sz w:val="15"/>
        </w:rPr>
        <w:t> </w:t>
      </w:r>
      <w:r>
        <w:rPr>
          <w:i/>
          <w:color w:val="231F20"/>
          <w:sz w:val="15"/>
        </w:rPr>
        <w:t>and</w:t>
      </w:r>
      <w:r>
        <w:rPr>
          <w:i/>
          <w:color w:val="231F20"/>
          <w:spacing w:val="27"/>
          <w:sz w:val="15"/>
        </w:rPr>
        <w:t> </w:t>
      </w:r>
      <w:r>
        <w:rPr>
          <w:i/>
          <w:color w:val="231F20"/>
          <w:sz w:val="15"/>
        </w:rPr>
        <w:t>For</w:t>
      </w:r>
      <w:r>
        <w:rPr>
          <w:i/>
          <w:color w:val="231F20"/>
          <w:spacing w:val="27"/>
          <w:sz w:val="15"/>
        </w:rPr>
        <w:t> </w:t>
      </w:r>
      <w:r>
        <w:rPr>
          <w:i/>
          <w:color w:val="231F20"/>
          <w:sz w:val="15"/>
        </w:rPr>
        <w:t>All</w:t>
      </w:r>
    </w:p>
    <w:p>
      <w:pPr>
        <w:spacing w:line="180" w:lineRule="exact" w:before="0"/>
        <w:ind w:left="100" w:right="0" w:firstLine="0"/>
        <w:jc w:val="both"/>
        <w:rPr>
          <w:rFonts w:ascii="Palatino Linotype" w:hAnsi="Palatino Linotype"/>
          <w:sz w:val="15"/>
        </w:rPr>
      </w:pPr>
      <w:r>
        <w:rPr>
          <w:rFonts w:ascii="Palatino Linotype" w:hAnsi="Palatino Linotype"/>
          <w:color w:val="231F20"/>
          <w:sz w:val="15"/>
        </w:rPr>
        <w:t>(Brookings Institution Press: Washington, DC, 2008), pp. 34–35.</w:t>
      </w:r>
    </w:p>
    <w:p>
      <w:pPr>
        <w:pStyle w:val="ListParagraph"/>
        <w:numPr>
          <w:ilvl w:val="0"/>
          <w:numId w:val="2"/>
        </w:numPr>
        <w:tabs>
          <w:tab w:pos="440" w:val="left" w:leader="none"/>
        </w:tabs>
        <w:spacing w:line="213" w:lineRule="auto" w:before="5" w:after="0"/>
        <w:ind w:left="100" w:right="121" w:firstLine="182"/>
        <w:jc w:val="both"/>
        <w:rPr>
          <w:sz w:val="15"/>
        </w:rPr>
      </w:pPr>
      <w:r>
        <w:rPr>
          <w:color w:val="231F20"/>
          <w:sz w:val="15"/>
        </w:rPr>
        <w:t>See UN Economic and Social Council, Report on refugees, displaced persons and returnees, prepared by Mr Jacques Cuenod, E/109/Add.1, 27 June 1991, para. 122; and Cohen, R., ‘Humani- tarian</w:t>
      </w:r>
      <w:r>
        <w:rPr>
          <w:color w:val="231F20"/>
          <w:spacing w:val="-12"/>
          <w:sz w:val="15"/>
        </w:rPr>
        <w:t> </w:t>
      </w:r>
      <w:r>
        <w:rPr>
          <w:color w:val="231F20"/>
          <w:sz w:val="15"/>
        </w:rPr>
        <w:t>imperatives</w:t>
      </w:r>
      <w:r>
        <w:rPr>
          <w:color w:val="231F20"/>
          <w:spacing w:val="-11"/>
          <w:sz w:val="15"/>
        </w:rPr>
        <w:t> </w:t>
      </w:r>
      <w:r>
        <w:rPr>
          <w:color w:val="231F20"/>
          <w:sz w:val="15"/>
        </w:rPr>
        <w:t>are</w:t>
      </w:r>
      <w:r>
        <w:rPr>
          <w:color w:val="231F20"/>
          <w:spacing w:val="-12"/>
          <w:sz w:val="15"/>
        </w:rPr>
        <w:t> </w:t>
      </w:r>
      <w:r>
        <w:rPr>
          <w:color w:val="231F20"/>
          <w:sz w:val="15"/>
        </w:rPr>
        <w:t>transforming</w:t>
      </w:r>
      <w:r>
        <w:rPr>
          <w:color w:val="231F20"/>
          <w:spacing w:val="-11"/>
          <w:sz w:val="15"/>
        </w:rPr>
        <w:t> </w:t>
      </w:r>
      <w:r>
        <w:rPr>
          <w:color w:val="231F20"/>
          <w:sz w:val="15"/>
        </w:rPr>
        <w:t>sovereignty’,</w:t>
      </w:r>
      <w:r>
        <w:rPr>
          <w:color w:val="231F20"/>
          <w:spacing w:val="-12"/>
          <w:sz w:val="15"/>
        </w:rPr>
        <w:t> </w:t>
      </w:r>
      <w:r>
        <w:rPr>
          <w:i/>
          <w:color w:val="231F20"/>
          <w:sz w:val="15"/>
        </w:rPr>
        <w:t>ILSA</w:t>
      </w:r>
      <w:r>
        <w:rPr>
          <w:i/>
          <w:color w:val="231F20"/>
          <w:spacing w:val="-11"/>
          <w:sz w:val="15"/>
        </w:rPr>
        <w:t> </w:t>
      </w:r>
      <w:r>
        <w:rPr>
          <w:i/>
          <w:color w:val="231F20"/>
          <w:sz w:val="15"/>
        </w:rPr>
        <w:t>Quarterly</w:t>
      </w:r>
      <w:r>
        <w:rPr>
          <w:color w:val="231F20"/>
          <w:sz w:val="15"/>
        </w:rPr>
        <w:t>,</w:t>
      </w:r>
      <w:r>
        <w:rPr>
          <w:color w:val="231F20"/>
          <w:spacing w:val="-12"/>
          <w:sz w:val="15"/>
        </w:rPr>
        <w:t> </w:t>
      </w:r>
      <w:r>
        <w:rPr>
          <w:color w:val="231F20"/>
          <w:sz w:val="15"/>
        </w:rPr>
        <w:t>vol.</w:t>
      </w:r>
      <w:r>
        <w:rPr>
          <w:color w:val="231F20"/>
          <w:spacing w:val="-13"/>
          <w:sz w:val="15"/>
        </w:rPr>
        <w:t> </w:t>
      </w:r>
      <w:r>
        <w:rPr>
          <w:color w:val="231F20"/>
          <w:sz w:val="15"/>
        </w:rPr>
        <w:t>16,</w:t>
      </w:r>
      <w:r>
        <w:rPr>
          <w:color w:val="231F20"/>
          <w:spacing w:val="-12"/>
          <w:sz w:val="15"/>
        </w:rPr>
        <w:t> </w:t>
      </w:r>
      <w:r>
        <w:rPr>
          <w:color w:val="231F20"/>
          <w:sz w:val="15"/>
        </w:rPr>
        <w:t>issue</w:t>
      </w:r>
      <w:r>
        <w:rPr>
          <w:color w:val="231F20"/>
          <w:spacing w:val="-12"/>
          <w:sz w:val="15"/>
        </w:rPr>
        <w:t> </w:t>
      </w:r>
      <w:r>
        <w:rPr>
          <w:color w:val="231F20"/>
          <w:sz w:val="15"/>
        </w:rPr>
        <w:t>3</w:t>
      </w:r>
      <w:r>
        <w:rPr>
          <w:color w:val="231F20"/>
          <w:spacing w:val="-12"/>
          <w:sz w:val="15"/>
        </w:rPr>
        <w:t> </w:t>
      </w:r>
      <w:r>
        <w:rPr>
          <w:color w:val="231F20"/>
          <w:sz w:val="15"/>
        </w:rPr>
        <w:t>(Feb.</w:t>
      </w:r>
      <w:r>
        <w:rPr>
          <w:color w:val="231F20"/>
          <w:spacing w:val="-12"/>
          <w:sz w:val="15"/>
        </w:rPr>
        <w:t> </w:t>
      </w:r>
      <w:r>
        <w:rPr>
          <w:color w:val="231F20"/>
          <w:sz w:val="15"/>
        </w:rPr>
        <w:t>2008),</w:t>
      </w:r>
      <w:r>
        <w:rPr>
          <w:color w:val="231F20"/>
          <w:spacing w:val="-13"/>
          <w:sz w:val="15"/>
        </w:rPr>
        <w:t> </w:t>
      </w:r>
      <w:r>
        <w:rPr>
          <w:color w:val="231F20"/>
          <w:sz w:val="15"/>
        </w:rPr>
        <w:t>p.</w:t>
      </w:r>
      <w:r>
        <w:rPr>
          <w:color w:val="231F20"/>
          <w:spacing w:val="-12"/>
          <w:sz w:val="15"/>
        </w:rPr>
        <w:t> </w:t>
      </w:r>
      <w:r>
        <w:rPr>
          <w:color w:val="231F20"/>
          <w:sz w:val="15"/>
        </w:rPr>
        <w:t>14.</w:t>
      </w:r>
    </w:p>
    <w:p>
      <w:pPr>
        <w:pStyle w:val="ListParagraph"/>
        <w:numPr>
          <w:ilvl w:val="0"/>
          <w:numId w:val="2"/>
        </w:numPr>
        <w:tabs>
          <w:tab w:pos="440" w:val="left" w:leader="none"/>
        </w:tabs>
        <w:spacing w:line="211" w:lineRule="auto" w:before="3" w:after="0"/>
        <w:ind w:left="100" w:right="121" w:firstLine="182"/>
        <w:jc w:val="both"/>
        <w:rPr>
          <w:sz w:val="15"/>
        </w:rPr>
      </w:pPr>
      <w:r>
        <w:rPr>
          <w:color w:val="231F20"/>
          <w:sz w:val="15"/>
        </w:rPr>
        <w:t>Ogata, S., </w:t>
      </w:r>
      <w:r>
        <w:rPr>
          <w:i/>
          <w:color w:val="231F20"/>
          <w:sz w:val="15"/>
        </w:rPr>
        <w:t>The Turbulent Decade: Confronting the Refugee Crises of the 1990s </w:t>
      </w:r>
      <w:r>
        <w:rPr>
          <w:color w:val="231F20"/>
          <w:sz w:val="15"/>
        </w:rPr>
        <w:t>(W. W. Norton &amp; Co.: New York, 2005), p.</w:t>
      </w:r>
      <w:r>
        <w:rPr>
          <w:color w:val="231F20"/>
          <w:spacing w:val="-22"/>
          <w:sz w:val="15"/>
        </w:rPr>
        <w:t> </w:t>
      </w:r>
      <w:r>
        <w:rPr>
          <w:color w:val="231F20"/>
          <w:sz w:val="15"/>
        </w:rPr>
        <w:t>38.</w:t>
      </w:r>
    </w:p>
    <w:p>
      <w:pPr>
        <w:pStyle w:val="ListParagraph"/>
        <w:numPr>
          <w:ilvl w:val="0"/>
          <w:numId w:val="2"/>
        </w:numPr>
        <w:tabs>
          <w:tab w:pos="440" w:val="left" w:leader="none"/>
        </w:tabs>
        <w:spacing w:line="213" w:lineRule="auto" w:before="3" w:after="0"/>
        <w:ind w:left="100" w:right="119" w:firstLine="182"/>
        <w:jc w:val="both"/>
        <w:rPr>
          <w:sz w:val="15"/>
        </w:rPr>
      </w:pPr>
      <w:r>
        <w:rPr>
          <w:color w:val="231F20"/>
          <w:sz w:val="15"/>
        </w:rPr>
        <w:t>See Minear, L., </w:t>
      </w:r>
      <w:r>
        <w:rPr>
          <w:i/>
          <w:color w:val="231F20"/>
          <w:sz w:val="15"/>
        </w:rPr>
        <w:t>Humanitarianism Under Siege: A Critical Review of Operation Lifeline Sudan  </w:t>
      </w:r>
      <w:r>
        <w:rPr>
          <w:color w:val="231F20"/>
          <w:sz w:val="15"/>
        </w:rPr>
        <w:t>(Red Sea Press: Washington, DC, 1991); Minear, L. and Weiss, T., ‘Do international ethics matter: humanitarian</w:t>
      </w:r>
      <w:r>
        <w:rPr>
          <w:color w:val="231F20"/>
          <w:spacing w:val="-5"/>
          <w:sz w:val="15"/>
        </w:rPr>
        <w:t> </w:t>
      </w:r>
      <w:r>
        <w:rPr>
          <w:color w:val="231F20"/>
          <w:sz w:val="15"/>
        </w:rPr>
        <w:t>policies</w:t>
      </w:r>
      <w:r>
        <w:rPr>
          <w:color w:val="231F20"/>
          <w:spacing w:val="-5"/>
          <w:sz w:val="15"/>
        </w:rPr>
        <w:t> </w:t>
      </w:r>
      <w:r>
        <w:rPr>
          <w:color w:val="231F20"/>
          <w:sz w:val="15"/>
        </w:rPr>
        <w:t>in</w:t>
      </w:r>
      <w:r>
        <w:rPr>
          <w:color w:val="231F20"/>
          <w:spacing w:val="-5"/>
          <w:sz w:val="15"/>
        </w:rPr>
        <w:t> </w:t>
      </w:r>
      <w:r>
        <w:rPr>
          <w:color w:val="231F20"/>
          <w:sz w:val="15"/>
        </w:rPr>
        <w:t>the</w:t>
      </w:r>
      <w:r>
        <w:rPr>
          <w:color w:val="231F20"/>
          <w:spacing w:val="-5"/>
          <w:sz w:val="15"/>
        </w:rPr>
        <w:t> </w:t>
      </w:r>
      <w:r>
        <w:rPr>
          <w:color w:val="231F20"/>
          <w:sz w:val="15"/>
        </w:rPr>
        <w:t>Sudan’,</w:t>
      </w:r>
      <w:r>
        <w:rPr>
          <w:color w:val="231F20"/>
          <w:spacing w:val="-5"/>
          <w:sz w:val="15"/>
        </w:rPr>
        <w:t> </w:t>
      </w:r>
      <w:r>
        <w:rPr>
          <w:i/>
          <w:color w:val="231F20"/>
          <w:sz w:val="15"/>
        </w:rPr>
        <w:t>Ethics</w:t>
      </w:r>
      <w:r>
        <w:rPr>
          <w:i/>
          <w:color w:val="231F20"/>
          <w:spacing w:val="-5"/>
          <w:sz w:val="15"/>
        </w:rPr>
        <w:t> </w:t>
      </w:r>
      <w:r>
        <w:rPr>
          <w:i/>
          <w:color w:val="231F20"/>
          <w:sz w:val="15"/>
        </w:rPr>
        <w:t>and</w:t>
      </w:r>
      <w:r>
        <w:rPr>
          <w:i/>
          <w:color w:val="231F20"/>
          <w:spacing w:val="-5"/>
          <w:sz w:val="15"/>
        </w:rPr>
        <w:t> </w:t>
      </w:r>
      <w:r>
        <w:rPr>
          <w:i/>
          <w:color w:val="231F20"/>
          <w:sz w:val="15"/>
        </w:rPr>
        <w:t>International</w:t>
      </w:r>
      <w:r>
        <w:rPr>
          <w:i/>
          <w:color w:val="231F20"/>
          <w:spacing w:val="-4"/>
          <w:sz w:val="15"/>
        </w:rPr>
        <w:t> </w:t>
      </w:r>
      <w:r>
        <w:rPr>
          <w:i/>
          <w:color w:val="231F20"/>
          <w:sz w:val="15"/>
        </w:rPr>
        <w:t>Affairs</w:t>
      </w:r>
      <w:r>
        <w:rPr>
          <w:color w:val="231F20"/>
          <w:sz w:val="15"/>
        </w:rPr>
        <w:t>,</w:t>
      </w:r>
      <w:r>
        <w:rPr>
          <w:color w:val="231F20"/>
          <w:spacing w:val="-5"/>
          <w:sz w:val="15"/>
        </w:rPr>
        <w:t> </w:t>
      </w:r>
      <w:r>
        <w:rPr>
          <w:color w:val="231F20"/>
          <w:sz w:val="15"/>
        </w:rPr>
        <w:t>vol.</w:t>
      </w:r>
      <w:r>
        <w:rPr>
          <w:color w:val="231F20"/>
          <w:spacing w:val="-5"/>
          <w:sz w:val="15"/>
        </w:rPr>
        <w:t> </w:t>
      </w:r>
      <w:r>
        <w:rPr>
          <w:color w:val="231F20"/>
          <w:sz w:val="15"/>
        </w:rPr>
        <w:t>5</w:t>
      </w:r>
      <w:r>
        <w:rPr>
          <w:color w:val="231F20"/>
          <w:spacing w:val="-5"/>
          <w:sz w:val="15"/>
        </w:rPr>
        <w:t> </w:t>
      </w:r>
      <w:r>
        <w:rPr>
          <w:color w:val="231F20"/>
          <w:sz w:val="15"/>
        </w:rPr>
        <w:t>(1991);</w:t>
      </w:r>
      <w:r>
        <w:rPr>
          <w:color w:val="231F20"/>
          <w:spacing w:val="-5"/>
          <w:sz w:val="15"/>
        </w:rPr>
        <w:t> </w:t>
      </w:r>
      <w:r>
        <w:rPr>
          <w:color w:val="231F20"/>
          <w:sz w:val="15"/>
        </w:rPr>
        <w:t>Cohen,</w:t>
      </w:r>
      <w:r>
        <w:rPr>
          <w:color w:val="231F20"/>
          <w:spacing w:val="-5"/>
          <w:sz w:val="15"/>
        </w:rPr>
        <w:t> </w:t>
      </w:r>
      <w:r>
        <w:rPr>
          <w:color w:val="231F20"/>
          <w:sz w:val="15"/>
        </w:rPr>
        <w:t>R.,</w:t>
      </w:r>
      <w:r>
        <w:rPr>
          <w:color w:val="231F20"/>
          <w:spacing w:val="-5"/>
          <w:sz w:val="15"/>
        </w:rPr>
        <w:t> </w:t>
      </w:r>
      <w:r>
        <w:rPr>
          <w:i/>
          <w:color w:val="231F20"/>
          <w:sz w:val="15"/>
        </w:rPr>
        <w:t>Human </w:t>
      </w:r>
      <w:r>
        <w:rPr>
          <w:i/>
          <w:color w:val="231F20"/>
          <w:sz w:val="15"/>
        </w:rPr>
        <w:t>Rights Protection for Internally Displaced Persons </w:t>
      </w:r>
      <w:r>
        <w:rPr>
          <w:color w:val="231F20"/>
          <w:sz w:val="15"/>
        </w:rPr>
        <w:t>(Refugee Policy Group: Washington, DC, June 1991), pp. 16–19; Refugee Policy Group, Conference on Human Rights Protection for Internally Displaced Persons, ‘Conference report’, 24–25 June 1991, </w:t>
      </w:r>
      <w:hyperlink r:id="rId25">
        <w:r>
          <w:rPr>
            <w:color w:val="231F20"/>
            <w:sz w:val="15"/>
          </w:rPr>
          <w:t>&lt;http://repository.forcedmigration.</w:t>
        </w:r>
      </w:hyperlink>
      <w:r>
        <w:rPr>
          <w:color w:val="231F20"/>
          <w:sz w:val="15"/>
        </w:rPr>
        <w:t> org/show_metadata.jsp?pid=fmo:3024&gt;; Cohen, R. and Cuenod, J., </w:t>
      </w:r>
      <w:r>
        <w:rPr>
          <w:i/>
          <w:color w:val="231F20"/>
          <w:sz w:val="15"/>
        </w:rPr>
        <w:t>Improving Institutional Arrange- </w:t>
      </w:r>
      <w:r>
        <w:rPr>
          <w:i/>
          <w:color w:val="231F20"/>
          <w:sz w:val="15"/>
        </w:rPr>
        <w:t>ments for the Internally Displaced </w:t>
      </w:r>
      <w:r>
        <w:rPr>
          <w:color w:val="231F20"/>
          <w:sz w:val="15"/>
        </w:rPr>
        <w:t>(Brookings Institution and Refugee Policy Group Project on Internal Displacement: Washington, DC, Oct. 1995), pp. 6–12, 54–57; and Seybolt, T. B., </w:t>
      </w:r>
      <w:r>
        <w:rPr>
          <w:i/>
          <w:color w:val="231F20"/>
          <w:sz w:val="15"/>
        </w:rPr>
        <w:t>Humani- </w:t>
      </w:r>
      <w:r>
        <w:rPr>
          <w:i/>
          <w:color w:val="231F20"/>
          <w:sz w:val="15"/>
        </w:rPr>
        <w:t>tarian Military Intervention: The Conditions for Success and Failure </w:t>
      </w:r>
      <w:r>
        <w:rPr>
          <w:color w:val="231F20"/>
          <w:sz w:val="15"/>
        </w:rPr>
        <w:t>(Oxford University  Press:  Oxford,</w:t>
      </w:r>
      <w:r>
        <w:rPr>
          <w:color w:val="231F20"/>
          <w:spacing w:val="-5"/>
          <w:sz w:val="15"/>
        </w:rPr>
        <w:t> </w:t>
      </w:r>
      <w:r>
        <w:rPr>
          <w:color w:val="231F20"/>
          <w:sz w:val="15"/>
        </w:rPr>
        <w:t>2007).</w:t>
      </w:r>
    </w:p>
    <w:p>
      <w:pPr>
        <w:spacing w:after="0" w:line="213" w:lineRule="auto"/>
        <w:jc w:val="both"/>
        <w:rPr>
          <w:sz w:val="15"/>
        </w:rPr>
        <w:sectPr>
          <w:pgSz w:w="8850" w:h="13270"/>
          <w:pgMar w:header="752" w:footer="0" w:top="1080" w:bottom="280" w:left="1080" w:right="1060"/>
        </w:sectPr>
      </w:pPr>
    </w:p>
    <w:p>
      <w:pPr>
        <w:pStyle w:val="BodyText"/>
        <w:spacing w:line="261" w:lineRule="auto" w:before="141"/>
        <w:ind w:right="118"/>
        <w:rPr>
          <w:rFonts w:ascii="Adobe Jenson Pro Lt Capt" w:hAnsi="Adobe Jenson Pro Lt Capt"/>
          <w:b w:val="0"/>
          <w:sz w:val="12"/>
        </w:rPr>
      </w:pPr>
      <w:r>
        <w:rPr>
          <w:color w:val="231F20"/>
        </w:rPr>
        <w:t>tarian intervention was even proposed to protect war-affected populations, although the term put forward by France—</w:t>
      </w:r>
      <w:r>
        <w:rPr>
          <w:rFonts w:ascii="Palatino Linotype" w:hAnsi="Palatino Linotype"/>
          <w:i/>
          <w:color w:val="231F20"/>
        </w:rPr>
        <w:t>le droit d’ingérence</w:t>
      </w:r>
      <w:r>
        <w:rPr>
          <w:color w:val="231F20"/>
        </w:rPr>
        <w:t>—was fre- quently challenged as violating the principle of non-interference in internal affairs.</w:t>
      </w:r>
      <w:r>
        <w:rPr>
          <w:rFonts w:ascii="Adobe Jenson Pro Lt Capt" w:hAnsi="Adobe Jenson Pro Lt Capt"/>
          <w:b w:val="0"/>
          <w:color w:val="231F20"/>
          <w:position w:val="6"/>
          <w:sz w:val="12"/>
        </w:rPr>
        <w:t>50</w:t>
      </w:r>
    </w:p>
    <w:p>
      <w:pPr>
        <w:pStyle w:val="BodyText"/>
        <w:spacing w:line="278" w:lineRule="auto" w:before="13"/>
        <w:ind w:right="116" w:firstLine="180"/>
      </w:pPr>
      <w:r>
        <w:rPr>
          <w:color w:val="231F20"/>
        </w:rPr>
        <w:t>A more palatable approach was to emphasize ‘sovereignty as responsi- bility’. As formulated for IDPs by the current authors, this concept effect- ively recasts sovereignty as a form of state responsibility to its displaced population. It acknowledges that states have the primary responsibility to provide IDPs with life-supporting protection and assistance and, if they are unable to do so, they are expected to request and accept outside offers of   aid. If they refuse, responsibility shifts to the international community.</w:t>
      </w:r>
      <w:r>
        <w:rPr>
          <w:rFonts w:ascii="Adobe Jenson Pro Lt Capt" w:hAnsi="Adobe Jenson Pro Lt Capt"/>
          <w:b w:val="0"/>
          <w:color w:val="231F20"/>
          <w:position w:val="6"/>
          <w:sz w:val="12"/>
        </w:rPr>
        <w:t>51 </w:t>
      </w:r>
      <w:r>
        <w:rPr>
          <w:color w:val="231F20"/>
        </w:rPr>
        <w:t>In line with this concept, the Guiding Principles on Internal Displacement acknowledge that primary responsibility for IDPs rests with the state, but that the international community has an important role to play when governments are unable or fail to discharge their responsibilities. The Guiding Principles make clear that the international community has  the right to offer assistance when states are unable or unwilling to assist their displaced populations, and that states have a duty to provide ‘rapid and unimpeded access’ to IDPs. Aid organizations are requested  to  pay  attention to ‘the protection needs and human rights’ of the displaced.</w:t>
      </w:r>
      <w:r>
        <w:rPr>
          <w:rFonts w:ascii="Adobe Jenson Pro Lt Capt" w:hAnsi="Adobe Jenson Pro Lt Capt"/>
          <w:b w:val="0"/>
          <w:color w:val="231F20"/>
          <w:position w:val="6"/>
          <w:sz w:val="12"/>
        </w:rPr>
        <w:t>52 </w:t>
      </w:r>
      <w:r>
        <w:rPr>
          <w:color w:val="231F20"/>
        </w:rPr>
        <w:t>Although the concept of a state’s responsibility to its population has begun   to be accepted internationally, namely that sovereignty carries with it the responsibility to protect and assist the state’s population, access to dis- placed populations is still often constrained by defensive invocations of national sovereignty that are designed to act as a barricade against outside involvement.</w:t>
      </w:r>
    </w:p>
    <w:p>
      <w:pPr>
        <w:pStyle w:val="BodyText"/>
        <w:spacing w:line="278" w:lineRule="auto"/>
        <w:ind w:right="118" w:firstLine="180"/>
      </w:pPr>
      <w:r>
        <w:rPr>
          <w:color w:val="231F20"/>
        </w:rPr>
        <w:t>The adoption by the UN General Assembly of the landmark concept ‘the responsibility to protect’ (R2P) in 2005 has created expectations of greater international action to enhance security for displaced and other persons caught up in genocide, war crimes, ethnic cleansing and crimes against humanity. Based on the concept of sovereignty as responsibility, R2P lays primary responsibility on the state to protect its own population and calls    on the international community to support states in discharging their responsibility.</w:t>
      </w:r>
      <w:r>
        <w:rPr>
          <w:color w:val="231F20"/>
          <w:spacing w:val="15"/>
        </w:rPr>
        <w:t> </w:t>
      </w:r>
      <w:r>
        <w:rPr>
          <w:color w:val="231F20"/>
        </w:rPr>
        <w:t>Should</w:t>
      </w:r>
      <w:r>
        <w:rPr>
          <w:color w:val="231F20"/>
          <w:spacing w:val="16"/>
        </w:rPr>
        <w:t> </w:t>
      </w:r>
      <w:r>
        <w:rPr>
          <w:color w:val="231F20"/>
        </w:rPr>
        <w:t>states</w:t>
      </w:r>
      <w:r>
        <w:rPr>
          <w:color w:val="231F20"/>
          <w:spacing w:val="16"/>
        </w:rPr>
        <w:t> </w:t>
      </w:r>
      <w:r>
        <w:rPr>
          <w:color w:val="231F20"/>
        </w:rPr>
        <w:t>fail</w:t>
      </w:r>
      <w:r>
        <w:rPr>
          <w:color w:val="231F20"/>
          <w:spacing w:val="15"/>
        </w:rPr>
        <w:t> </w:t>
      </w:r>
      <w:r>
        <w:rPr>
          <w:color w:val="231F20"/>
        </w:rPr>
        <w:t>in</w:t>
      </w:r>
      <w:r>
        <w:rPr>
          <w:color w:val="231F20"/>
          <w:spacing w:val="16"/>
        </w:rPr>
        <w:t> </w:t>
      </w:r>
      <w:r>
        <w:rPr>
          <w:color w:val="231F20"/>
        </w:rPr>
        <w:t>that</w:t>
      </w:r>
      <w:r>
        <w:rPr>
          <w:color w:val="231F20"/>
          <w:spacing w:val="16"/>
        </w:rPr>
        <w:t> </w:t>
      </w:r>
      <w:r>
        <w:rPr>
          <w:color w:val="231F20"/>
        </w:rPr>
        <w:t>obligation,</w:t>
      </w:r>
      <w:r>
        <w:rPr>
          <w:color w:val="231F20"/>
          <w:spacing w:val="16"/>
        </w:rPr>
        <w:t> </w:t>
      </w:r>
      <w:r>
        <w:rPr>
          <w:color w:val="231F20"/>
        </w:rPr>
        <w:t>the</w:t>
      </w:r>
      <w:r>
        <w:rPr>
          <w:color w:val="231F20"/>
          <w:spacing w:val="15"/>
        </w:rPr>
        <w:t> </w:t>
      </w:r>
      <w:r>
        <w:rPr>
          <w:color w:val="231F20"/>
        </w:rPr>
        <w:t>concept</w:t>
      </w:r>
      <w:r>
        <w:rPr>
          <w:color w:val="231F20"/>
          <w:spacing w:val="16"/>
        </w:rPr>
        <w:t> </w:t>
      </w:r>
      <w:r>
        <w:rPr>
          <w:color w:val="231F20"/>
        </w:rPr>
        <w:t>provides</w:t>
      </w:r>
      <w:r>
        <w:rPr>
          <w:color w:val="231F20"/>
          <w:spacing w:val="16"/>
        </w:rPr>
        <w:t> </w:t>
      </w:r>
      <w:r>
        <w:rPr>
          <w:color w:val="231F20"/>
        </w:rPr>
        <w:t>for</w:t>
      </w:r>
    </w:p>
    <w:p>
      <w:pPr>
        <w:spacing w:line="190" w:lineRule="exact" w:before="217"/>
        <w:ind w:left="283" w:right="0" w:firstLine="0"/>
        <w:jc w:val="both"/>
        <w:rPr>
          <w:rFonts w:ascii="Palatino Linotype" w:hAnsi="Palatino Linotype"/>
          <w:sz w:val="15"/>
        </w:rPr>
      </w:pPr>
      <w:r>
        <w:rPr>
          <w:rFonts w:ascii="Adobe Jenson Pro Lt Capt" w:hAnsi="Adobe Jenson Pro Lt Capt"/>
          <w:b w:val="0"/>
          <w:color w:val="231F20"/>
          <w:position w:val="4"/>
          <w:sz w:val="12"/>
        </w:rPr>
        <w:t>50 </w:t>
      </w:r>
      <w:r>
        <w:rPr>
          <w:rFonts w:ascii="Palatino Linotype" w:hAnsi="Palatino Linotype"/>
          <w:color w:val="231F20"/>
          <w:sz w:val="15"/>
        </w:rPr>
        <w:t>Evans (note 46), pp. 32–33.</w:t>
      </w:r>
    </w:p>
    <w:p>
      <w:pPr>
        <w:pStyle w:val="ListParagraph"/>
        <w:numPr>
          <w:ilvl w:val="0"/>
          <w:numId w:val="3"/>
        </w:numPr>
        <w:tabs>
          <w:tab w:pos="440" w:val="left" w:leader="none"/>
        </w:tabs>
        <w:spacing w:line="213" w:lineRule="auto" w:before="5" w:after="0"/>
        <w:ind w:left="100" w:right="120" w:firstLine="182"/>
        <w:jc w:val="both"/>
        <w:rPr>
          <w:rFonts w:ascii="Adobe Jenson Pro Lt Capt" w:hAnsi="Adobe Jenson Pro Lt Capt"/>
          <w:color w:val="231F20"/>
          <w:sz w:val="12"/>
        </w:rPr>
      </w:pPr>
      <w:r>
        <w:rPr>
          <w:color w:val="231F20"/>
          <w:sz w:val="15"/>
        </w:rPr>
        <w:t>See UN Economic and Social Council, Commission on Human Rights, ‘Human rights, mass exoduses,</w:t>
      </w:r>
      <w:r>
        <w:rPr>
          <w:color w:val="231F20"/>
          <w:spacing w:val="-9"/>
          <w:sz w:val="15"/>
        </w:rPr>
        <w:t> </w:t>
      </w:r>
      <w:r>
        <w:rPr>
          <w:color w:val="231F20"/>
          <w:sz w:val="15"/>
        </w:rPr>
        <w:t>and</w:t>
      </w:r>
      <w:r>
        <w:rPr>
          <w:color w:val="231F20"/>
          <w:spacing w:val="-9"/>
          <w:sz w:val="15"/>
        </w:rPr>
        <w:t> </w:t>
      </w:r>
      <w:r>
        <w:rPr>
          <w:color w:val="231F20"/>
          <w:sz w:val="15"/>
        </w:rPr>
        <w:t>displaced</w:t>
      </w:r>
      <w:r>
        <w:rPr>
          <w:color w:val="231F20"/>
          <w:spacing w:val="-9"/>
          <w:sz w:val="15"/>
        </w:rPr>
        <w:t> </w:t>
      </w:r>
      <w:r>
        <w:rPr>
          <w:color w:val="231F20"/>
          <w:sz w:val="15"/>
        </w:rPr>
        <w:t>persons’,</w:t>
      </w:r>
      <w:r>
        <w:rPr>
          <w:color w:val="231F20"/>
          <w:spacing w:val="-9"/>
          <w:sz w:val="15"/>
        </w:rPr>
        <w:t> </w:t>
      </w:r>
      <w:r>
        <w:rPr>
          <w:color w:val="231F20"/>
          <w:sz w:val="15"/>
        </w:rPr>
        <w:t>Report</w:t>
      </w:r>
      <w:r>
        <w:rPr>
          <w:color w:val="231F20"/>
          <w:spacing w:val="-9"/>
          <w:sz w:val="15"/>
        </w:rPr>
        <w:t> </w:t>
      </w:r>
      <w:r>
        <w:rPr>
          <w:color w:val="231F20"/>
          <w:sz w:val="15"/>
        </w:rPr>
        <w:t>by</w:t>
      </w:r>
      <w:r>
        <w:rPr>
          <w:color w:val="231F20"/>
          <w:spacing w:val="-9"/>
          <w:sz w:val="15"/>
        </w:rPr>
        <w:t> </w:t>
      </w:r>
      <w:r>
        <w:rPr>
          <w:color w:val="231F20"/>
          <w:sz w:val="15"/>
        </w:rPr>
        <w:t>the</w:t>
      </w:r>
      <w:r>
        <w:rPr>
          <w:color w:val="231F20"/>
          <w:spacing w:val="-9"/>
          <w:sz w:val="15"/>
        </w:rPr>
        <w:t> </w:t>
      </w:r>
      <w:r>
        <w:rPr>
          <w:color w:val="231F20"/>
          <w:sz w:val="15"/>
        </w:rPr>
        <w:t>Representative</w:t>
      </w:r>
      <w:r>
        <w:rPr>
          <w:color w:val="231F20"/>
          <w:spacing w:val="-9"/>
          <w:sz w:val="15"/>
        </w:rPr>
        <w:t> </w:t>
      </w:r>
      <w:r>
        <w:rPr>
          <w:color w:val="231F20"/>
          <w:sz w:val="15"/>
        </w:rPr>
        <w:t>of</w:t>
      </w:r>
      <w:r>
        <w:rPr>
          <w:color w:val="231F20"/>
          <w:spacing w:val="-8"/>
          <w:sz w:val="15"/>
        </w:rPr>
        <w:t> </w:t>
      </w:r>
      <w:r>
        <w:rPr>
          <w:color w:val="231F20"/>
          <w:sz w:val="15"/>
        </w:rPr>
        <w:t>the</w:t>
      </w:r>
      <w:r>
        <w:rPr>
          <w:color w:val="231F20"/>
          <w:spacing w:val="-9"/>
          <w:sz w:val="15"/>
        </w:rPr>
        <w:t> </w:t>
      </w:r>
      <w:r>
        <w:rPr>
          <w:color w:val="231F20"/>
          <w:sz w:val="15"/>
        </w:rPr>
        <w:t>Secretary-General</w:t>
      </w:r>
      <w:r>
        <w:rPr>
          <w:color w:val="231F20"/>
          <w:spacing w:val="-9"/>
          <w:sz w:val="15"/>
        </w:rPr>
        <w:t> </w:t>
      </w:r>
      <w:r>
        <w:rPr>
          <w:color w:val="231F20"/>
          <w:sz w:val="15"/>
        </w:rPr>
        <w:t>on</w:t>
      </w:r>
      <w:r>
        <w:rPr>
          <w:color w:val="231F20"/>
          <w:spacing w:val="-9"/>
          <w:sz w:val="15"/>
        </w:rPr>
        <w:t> </w:t>
      </w:r>
      <w:r>
        <w:rPr>
          <w:color w:val="231F20"/>
          <w:sz w:val="15"/>
        </w:rPr>
        <w:t>Intern- ally</w:t>
      </w:r>
      <w:r>
        <w:rPr>
          <w:color w:val="231F20"/>
          <w:spacing w:val="-6"/>
          <w:sz w:val="15"/>
        </w:rPr>
        <w:t> </w:t>
      </w:r>
      <w:r>
        <w:rPr>
          <w:color w:val="231F20"/>
          <w:sz w:val="15"/>
        </w:rPr>
        <w:t>Displaced</w:t>
      </w:r>
      <w:r>
        <w:rPr>
          <w:color w:val="231F20"/>
          <w:spacing w:val="-5"/>
          <w:sz w:val="15"/>
        </w:rPr>
        <w:t> </w:t>
      </w:r>
      <w:r>
        <w:rPr>
          <w:color w:val="231F20"/>
          <w:sz w:val="15"/>
        </w:rPr>
        <w:t>Persons,</w:t>
      </w:r>
      <w:r>
        <w:rPr>
          <w:color w:val="231F20"/>
          <w:spacing w:val="-6"/>
          <w:sz w:val="15"/>
        </w:rPr>
        <w:t> </w:t>
      </w:r>
      <w:r>
        <w:rPr>
          <w:color w:val="231F20"/>
          <w:sz w:val="15"/>
        </w:rPr>
        <w:t>Mr</w:t>
      </w:r>
      <w:r>
        <w:rPr>
          <w:color w:val="231F20"/>
          <w:spacing w:val="-5"/>
          <w:sz w:val="15"/>
        </w:rPr>
        <w:t> </w:t>
      </w:r>
      <w:r>
        <w:rPr>
          <w:color w:val="231F20"/>
          <w:sz w:val="15"/>
        </w:rPr>
        <w:t>Francis</w:t>
      </w:r>
      <w:r>
        <w:rPr>
          <w:color w:val="231F20"/>
          <w:spacing w:val="-6"/>
          <w:sz w:val="15"/>
        </w:rPr>
        <w:t> </w:t>
      </w:r>
      <w:r>
        <w:rPr>
          <w:color w:val="231F20"/>
          <w:sz w:val="15"/>
        </w:rPr>
        <w:t>M.</w:t>
      </w:r>
      <w:r>
        <w:rPr>
          <w:color w:val="231F20"/>
          <w:spacing w:val="-5"/>
          <w:sz w:val="15"/>
        </w:rPr>
        <w:t> </w:t>
      </w:r>
      <w:r>
        <w:rPr>
          <w:color w:val="231F20"/>
          <w:sz w:val="15"/>
        </w:rPr>
        <w:t>Deng,</w:t>
      </w:r>
      <w:r>
        <w:rPr>
          <w:color w:val="231F20"/>
          <w:spacing w:val="-6"/>
          <w:sz w:val="15"/>
        </w:rPr>
        <w:t> </w:t>
      </w:r>
      <w:r>
        <w:rPr>
          <w:color w:val="231F20"/>
          <w:sz w:val="15"/>
        </w:rPr>
        <w:t>E/CN.4/1995/50,</w:t>
      </w:r>
      <w:r>
        <w:rPr>
          <w:color w:val="231F20"/>
          <w:spacing w:val="-5"/>
          <w:sz w:val="15"/>
        </w:rPr>
        <w:t> </w:t>
      </w:r>
      <w:r>
        <w:rPr>
          <w:color w:val="231F20"/>
          <w:sz w:val="15"/>
        </w:rPr>
        <w:t>2</w:t>
      </w:r>
      <w:r>
        <w:rPr>
          <w:color w:val="231F20"/>
          <w:spacing w:val="-6"/>
          <w:sz w:val="15"/>
        </w:rPr>
        <w:t> </w:t>
      </w:r>
      <w:r>
        <w:rPr>
          <w:color w:val="231F20"/>
          <w:sz w:val="15"/>
        </w:rPr>
        <w:t>Feb.</w:t>
      </w:r>
      <w:r>
        <w:rPr>
          <w:color w:val="231F20"/>
          <w:spacing w:val="-5"/>
          <w:sz w:val="15"/>
        </w:rPr>
        <w:t> </w:t>
      </w:r>
      <w:r>
        <w:rPr>
          <w:color w:val="231F20"/>
          <w:sz w:val="15"/>
        </w:rPr>
        <w:t>1995,</w:t>
      </w:r>
      <w:r>
        <w:rPr>
          <w:color w:val="231F20"/>
          <w:spacing w:val="-6"/>
          <w:sz w:val="15"/>
        </w:rPr>
        <w:t> </w:t>
      </w:r>
      <w:r>
        <w:rPr>
          <w:color w:val="231F20"/>
          <w:sz w:val="15"/>
        </w:rPr>
        <w:t>para.</w:t>
      </w:r>
      <w:r>
        <w:rPr>
          <w:color w:val="231F20"/>
          <w:spacing w:val="-5"/>
          <w:sz w:val="15"/>
        </w:rPr>
        <w:t> </w:t>
      </w:r>
      <w:r>
        <w:rPr>
          <w:color w:val="231F20"/>
          <w:sz w:val="15"/>
        </w:rPr>
        <w:t>38.</w:t>
      </w:r>
      <w:r>
        <w:rPr>
          <w:color w:val="231F20"/>
          <w:spacing w:val="-6"/>
          <w:sz w:val="15"/>
        </w:rPr>
        <w:t> </w:t>
      </w:r>
      <w:r>
        <w:rPr>
          <w:color w:val="231F20"/>
          <w:sz w:val="15"/>
        </w:rPr>
        <w:t>See</w:t>
      </w:r>
      <w:r>
        <w:rPr>
          <w:color w:val="231F20"/>
          <w:spacing w:val="-5"/>
          <w:sz w:val="15"/>
        </w:rPr>
        <w:t> </w:t>
      </w:r>
      <w:r>
        <w:rPr>
          <w:color w:val="231F20"/>
          <w:sz w:val="15"/>
        </w:rPr>
        <w:t>also</w:t>
      </w:r>
      <w:r>
        <w:rPr>
          <w:color w:val="231F20"/>
          <w:spacing w:val="-6"/>
          <w:sz w:val="15"/>
        </w:rPr>
        <w:t> </w:t>
      </w:r>
      <w:r>
        <w:rPr>
          <w:color w:val="231F20"/>
          <w:sz w:val="15"/>
        </w:rPr>
        <w:t>Minear (note 49), pp. 118–23; Cohen (note 49), pp. 16–19; Refugee Policy Group (note 49); Deng. F. M., </w:t>
      </w:r>
      <w:r>
        <w:rPr>
          <w:i/>
          <w:color w:val="231F20"/>
          <w:sz w:val="15"/>
        </w:rPr>
        <w:t>Protecting</w:t>
      </w:r>
      <w:r>
        <w:rPr>
          <w:i/>
          <w:color w:val="231F20"/>
          <w:spacing w:val="9"/>
          <w:sz w:val="15"/>
        </w:rPr>
        <w:t> </w:t>
      </w:r>
      <w:r>
        <w:rPr>
          <w:i/>
          <w:color w:val="231F20"/>
          <w:sz w:val="15"/>
        </w:rPr>
        <w:t>the</w:t>
      </w:r>
      <w:r>
        <w:rPr>
          <w:i/>
          <w:color w:val="231F20"/>
          <w:spacing w:val="9"/>
          <w:sz w:val="15"/>
        </w:rPr>
        <w:t> </w:t>
      </w:r>
      <w:r>
        <w:rPr>
          <w:i/>
          <w:color w:val="231F20"/>
          <w:sz w:val="15"/>
        </w:rPr>
        <w:t>Dispossessed</w:t>
      </w:r>
      <w:r>
        <w:rPr>
          <w:i/>
          <w:color w:val="231F20"/>
          <w:spacing w:val="8"/>
          <w:sz w:val="15"/>
        </w:rPr>
        <w:t> </w:t>
      </w:r>
      <w:r>
        <w:rPr>
          <w:color w:val="231F20"/>
          <w:sz w:val="15"/>
        </w:rPr>
        <w:t>(Brookings</w:t>
      </w:r>
      <w:r>
        <w:rPr>
          <w:color w:val="231F20"/>
          <w:spacing w:val="9"/>
          <w:sz w:val="15"/>
        </w:rPr>
        <w:t> </w:t>
      </w:r>
      <w:r>
        <w:rPr>
          <w:color w:val="231F20"/>
          <w:sz w:val="15"/>
        </w:rPr>
        <w:t>Institution</w:t>
      </w:r>
      <w:r>
        <w:rPr>
          <w:color w:val="231F20"/>
          <w:spacing w:val="9"/>
          <w:sz w:val="15"/>
        </w:rPr>
        <w:t> </w:t>
      </w:r>
      <w:r>
        <w:rPr>
          <w:color w:val="231F20"/>
          <w:sz w:val="15"/>
        </w:rPr>
        <w:t>Press:</w:t>
      </w:r>
      <w:r>
        <w:rPr>
          <w:color w:val="231F20"/>
          <w:spacing w:val="9"/>
          <w:sz w:val="15"/>
        </w:rPr>
        <w:t> </w:t>
      </w:r>
      <w:r>
        <w:rPr>
          <w:color w:val="231F20"/>
          <w:sz w:val="15"/>
        </w:rPr>
        <w:t>Washington,</w:t>
      </w:r>
      <w:r>
        <w:rPr>
          <w:color w:val="231F20"/>
          <w:spacing w:val="9"/>
          <w:sz w:val="15"/>
        </w:rPr>
        <w:t> </w:t>
      </w:r>
      <w:r>
        <w:rPr>
          <w:color w:val="231F20"/>
          <w:sz w:val="15"/>
        </w:rPr>
        <w:t>DC,</w:t>
      </w:r>
      <w:r>
        <w:rPr>
          <w:color w:val="231F20"/>
          <w:spacing w:val="9"/>
          <w:sz w:val="15"/>
        </w:rPr>
        <w:t> </w:t>
      </w:r>
      <w:r>
        <w:rPr>
          <w:color w:val="231F20"/>
          <w:sz w:val="15"/>
        </w:rPr>
        <w:t>1993),</w:t>
      </w:r>
      <w:r>
        <w:rPr>
          <w:color w:val="231F20"/>
          <w:spacing w:val="9"/>
          <w:sz w:val="15"/>
        </w:rPr>
        <w:t> </w:t>
      </w:r>
      <w:r>
        <w:rPr>
          <w:color w:val="231F20"/>
          <w:sz w:val="15"/>
        </w:rPr>
        <w:t>pp.</w:t>
      </w:r>
      <w:r>
        <w:rPr>
          <w:color w:val="231F20"/>
          <w:spacing w:val="9"/>
          <w:sz w:val="15"/>
        </w:rPr>
        <w:t> </w:t>
      </w:r>
      <w:r>
        <w:rPr>
          <w:color w:val="231F20"/>
          <w:sz w:val="15"/>
        </w:rPr>
        <w:t>14–20;</w:t>
      </w:r>
      <w:r>
        <w:rPr>
          <w:color w:val="231F20"/>
          <w:spacing w:val="10"/>
          <w:sz w:val="15"/>
        </w:rPr>
        <w:t> </w:t>
      </w:r>
      <w:r>
        <w:rPr>
          <w:color w:val="231F20"/>
          <w:sz w:val="15"/>
        </w:rPr>
        <w:t>Deng,</w:t>
      </w:r>
    </w:p>
    <w:p>
      <w:pPr>
        <w:spacing w:line="213" w:lineRule="auto" w:before="2"/>
        <w:ind w:left="100" w:right="121" w:firstLine="0"/>
        <w:jc w:val="both"/>
        <w:rPr>
          <w:rFonts w:ascii="Palatino Linotype" w:hAnsi="Palatino Linotype"/>
          <w:sz w:val="15"/>
        </w:rPr>
      </w:pPr>
      <w:r>
        <w:rPr>
          <w:rFonts w:ascii="Palatino Linotype" w:hAnsi="Palatino Linotype"/>
          <w:color w:val="231F20"/>
          <w:sz w:val="15"/>
        </w:rPr>
        <w:t>F. M. et al., </w:t>
      </w:r>
      <w:r>
        <w:rPr>
          <w:rFonts w:ascii="Palatino Linotype" w:hAnsi="Palatino Linotype"/>
          <w:i/>
          <w:color w:val="231F20"/>
          <w:sz w:val="15"/>
        </w:rPr>
        <w:t>Sovereignty as Responsibility: Conﬂict Management in Africa </w:t>
      </w:r>
      <w:r>
        <w:rPr>
          <w:rFonts w:ascii="Palatino Linotype" w:hAnsi="Palatino Linotype"/>
          <w:color w:val="231F20"/>
          <w:sz w:val="15"/>
        </w:rPr>
        <w:t>(Brookings Institution Press: Washington,</w:t>
      </w:r>
      <w:r>
        <w:rPr>
          <w:rFonts w:ascii="Palatino Linotype" w:hAnsi="Palatino Linotype"/>
          <w:color w:val="231F20"/>
          <w:spacing w:val="-4"/>
          <w:sz w:val="15"/>
        </w:rPr>
        <w:t> </w:t>
      </w:r>
      <w:r>
        <w:rPr>
          <w:rFonts w:ascii="Palatino Linotype" w:hAnsi="Palatino Linotype"/>
          <w:color w:val="231F20"/>
          <w:sz w:val="15"/>
        </w:rPr>
        <w:t>DC,</w:t>
      </w:r>
      <w:r>
        <w:rPr>
          <w:rFonts w:ascii="Palatino Linotype" w:hAnsi="Palatino Linotype"/>
          <w:color w:val="231F20"/>
          <w:spacing w:val="-4"/>
          <w:sz w:val="15"/>
        </w:rPr>
        <w:t> </w:t>
      </w:r>
      <w:r>
        <w:rPr>
          <w:rFonts w:ascii="Palatino Linotype" w:hAnsi="Palatino Linotype"/>
          <w:color w:val="231F20"/>
          <w:sz w:val="15"/>
        </w:rPr>
        <w:t>1996),</w:t>
      </w:r>
      <w:r>
        <w:rPr>
          <w:rFonts w:ascii="Palatino Linotype" w:hAnsi="Palatino Linotype"/>
          <w:color w:val="231F20"/>
          <w:spacing w:val="-4"/>
          <w:sz w:val="15"/>
        </w:rPr>
        <w:t> </w:t>
      </w:r>
      <w:r>
        <w:rPr>
          <w:rFonts w:ascii="Palatino Linotype" w:hAnsi="Palatino Linotype"/>
          <w:color w:val="231F20"/>
          <w:sz w:val="15"/>
        </w:rPr>
        <w:t>pp.</w:t>
      </w:r>
      <w:r>
        <w:rPr>
          <w:rFonts w:ascii="Palatino Linotype" w:hAnsi="Palatino Linotype"/>
          <w:color w:val="231F20"/>
          <w:spacing w:val="-3"/>
          <w:sz w:val="15"/>
        </w:rPr>
        <w:t> </w:t>
      </w:r>
      <w:r>
        <w:rPr>
          <w:rFonts w:ascii="Palatino Linotype" w:hAnsi="Palatino Linotype"/>
          <w:color w:val="231F20"/>
          <w:sz w:val="15"/>
        </w:rPr>
        <w:t>2–19,</w:t>
      </w:r>
      <w:r>
        <w:rPr>
          <w:rFonts w:ascii="Palatino Linotype" w:hAnsi="Palatino Linotype"/>
          <w:color w:val="231F20"/>
          <w:spacing w:val="-4"/>
          <w:sz w:val="15"/>
        </w:rPr>
        <w:t> </w:t>
      </w:r>
      <w:r>
        <w:rPr>
          <w:rFonts w:ascii="Palatino Linotype" w:hAnsi="Palatino Linotype"/>
          <w:color w:val="231F20"/>
          <w:sz w:val="15"/>
        </w:rPr>
        <w:t>27–33;</w:t>
      </w:r>
      <w:r>
        <w:rPr>
          <w:rFonts w:ascii="Palatino Linotype" w:hAnsi="Palatino Linotype"/>
          <w:color w:val="231F20"/>
          <w:spacing w:val="-4"/>
          <w:sz w:val="15"/>
        </w:rPr>
        <w:t> </w:t>
      </w:r>
      <w:r>
        <w:rPr>
          <w:rFonts w:ascii="Palatino Linotype" w:hAnsi="Palatino Linotype"/>
          <w:color w:val="231F20"/>
          <w:sz w:val="15"/>
        </w:rPr>
        <w:t>Cohen</w:t>
      </w:r>
      <w:r>
        <w:rPr>
          <w:rFonts w:ascii="Palatino Linotype" w:hAnsi="Palatino Linotype"/>
          <w:color w:val="231F20"/>
          <w:spacing w:val="-3"/>
          <w:sz w:val="15"/>
        </w:rPr>
        <w:t> </w:t>
      </w:r>
      <w:r>
        <w:rPr>
          <w:rFonts w:ascii="Palatino Linotype" w:hAnsi="Palatino Linotype"/>
          <w:color w:val="231F20"/>
          <w:sz w:val="15"/>
        </w:rPr>
        <w:t>and</w:t>
      </w:r>
      <w:r>
        <w:rPr>
          <w:rFonts w:ascii="Palatino Linotype" w:hAnsi="Palatino Linotype"/>
          <w:color w:val="231F20"/>
          <w:spacing w:val="-4"/>
          <w:sz w:val="15"/>
        </w:rPr>
        <w:t> </w:t>
      </w:r>
      <w:r>
        <w:rPr>
          <w:rFonts w:ascii="Palatino Linotype" w:hAnsi="Palatino Linotype"/>
          <w:color w:val="231F20"/>
          <w:sz w:val="15"/>
        </w:rPr>
        <w:t>Deng</w:t>
      </w:r>
      <w:r>
        <w:rPr>
          <w:rFonts w:ascii="Palatino Linotype" w:hAnsi="Palatino Linotype"/>
          <w:color w:val="231F20"/>
          <w:spacing w:val="-4"/>
          <w:sz w:val="15"/>
        </w:rPr>
        <w:t> </w:t>
      </w:r>
      <w:r>
        <w:rPr>
          <w:rFonts w:ascii="Palatino Linotype" w:hAnsi="Palatino Linotype"/>
          <w:color w:val="231F20"/>
          <w:sz w:val="15"/>
        </w:rPr>
        <w:t>(note</w:t>
      </w:r>
      <w:r>
        <w:rPr>
          <w:rFonts w:ascii="Palatino Linotype" w:hAnsi="Palatino Linotype"/>
          <w:color w:val="231F20"/>
          <w:spacing w:val="-3"/>
          <w:sz w:val="15"/>
        </w:rPr>
        <w:t> </w:t>
      </w:r>
      <w:r>
        <w:rPr>
          <w:rFonts w:ascii="Palatino Linotype" w:hAnsi="Palatino Linotype"/>
          <w:color w:val="231F20"/>
          <w:sz w:val="15"/>
        </w:rPr>
        <w:t>7),</w:t>
      </w:r>
      <w:r>
        <w:rPr>
          <w:rFonts w:ascii="Palatino Linotype" w:hAnsi="Palatino Linotype"/>
          <w:color w:val="231F20"/>
          <w:spacing w:val="-4"/>
          <w:sz w:val="15"/>
        </w:rPr>
        <w:t> </w:t>
      </w:r>
      <w:r>
        <w:rPr>
          <w:rFonts w:ascii="Palatino Linotype" w:hAnsi="Palatino Linotype"/>
          <w:color w:val="231F20"/>
          <w:sz w:val="15"/>
        </w:rPr>
        <w:t>pp.</w:t>
      </w:r>
      <w:r>
        <w:rPr>
          <w:rFonts w:ascii="Palatino Linotype" w:hAnsi="Palatino Linotype"/>
          <w:color w:val="231F20"/>
          <w:spacing w:val="-4"/>
          <w:sz w:val="15"/>
        </w:rPr>
        <w:t> </w:t>
      </w:r>
      <w:r>
        <w:rPr>
          <w:rFonts w:ascii="Palatino Linotype" w:hAnsi="Palatino Linotype"/>
          <w:color w:val="231F20"/>
          <w:sz w:val="15"/>
        </w:rPr>
        <w:t>275–80;</w:t>
      </w:r>
      <w:r>
        <w:rPr>
          <w:rFonts w:ascii="Palatino Linotype" w:hAnsi="Palatino Linotype"/>
          <w:color w:val="231F20"/>
          <w:spacing w:val="-3"/>
          <w:sz w:val="15"/>
        </w:rPr>
        <w:t> </w:t>
      </w:r>
      <w:r>
        <w:rPr>
          <w:rFonts w:ascii="Palatino Linotype" w:hAnsi="Palatino Linotype"/>
          <w:color w:val="231F20"/>
          <w:sz w:val="15"/>
        </w:rPr>
        <w:t>Deng</w:t>
      </w:r>
      <w:r>
        <w:rPr>
          <w:rFonts w:ascii="Palatino Linotype" w:hAnsi="Palatino Linotype"/>
          <w:color w:val="231F20"/>
          <w:spacing w:val="-4"/>
          <w:sz w:val="15"/>
        </w:rPr>
        <w:t> </w:t>
      </w:r>
      <w:r>
        <w:rPr>
          <w:rFonts w:ascii="Palatino Linotype" w:hAnsi="Palatino Linotype"/>
          <w:color w:val="231F20"/>
          <w:sz w:val="15"/>
        </w:rPr>
        <w:t>(note</w:t>
      </w:r>
      <w:r>
        <w:rPr>
          <w:rFonts w:ascii="Palatino Linotype" w:hAnsi="Palatino Linotype"/>
          <w:color w:val="231F20"/>
          <w:spacing w:val="-4"/>
          <w:sz w:val="15"/>
        </w:rPr>
        <w:t> </w:t>
      </w:r>
      <w:r>
        <w:rPr>
          <w:rFonts w:ascii="Palatino Linotype" w:hAnsi="Palatino Linotype"/>
          <w:color w:val="231F20"/>
          <w:sz w:val="15"/>
        </w:rPr>
        <w:t>24);</w:t>
      </w:r>
      <w:r>
        <w:rPr>
          <w:rFonts w:ascii="Palatino Linotype" w:hAnsi="Palatino Linotype"/>
          <w:color w:val="231F20"/>
          <w:spacing w:val="-4"/>
          <w:sz w:val="15"/>
        </w:rPr>
        <w:t> </w:t>
      </w:r>
      <w:r>
        <w:rPr>
          <w:rFonts w:ascii="Palatino Linotype" w:hAnsi="Palatino Linotype"/>
          <w:color w:val="231F20"/>
          <w:sz w:val="15"/>
        </w:rPr>
        <w:t>and Weiss, T. and Korn, D. A., </w:t>
      </w:r>
      <w:r>
        <w:rPr>
          <w:rFonts w:ascii="Palatino Linotype" w:hAnsi="Palatino Linotype"/>
          <w:i/>
          <w:color w:val="231F20"/>
          <w:sz w:val="15"/>
        </w:rPr>
        <w:t>Internal Displacement: Conceptualization and its Consequences </w:t>
      </w:r>
      <w:r>
        <w:rPr>
          <w:rFonts w:ascii="Palatino Linotype" w:hAnsi="Palatino Linotype"/>
          <w:color w:val="231F20"/>
          <w:sz w:val="15"/>
        </w:rPr>
        <w:t>(Routledge: New York, 2006), p.</w:t>
      </w:r>
      <w:r>
        <w:rPr>
          <w:rFonts w:ascii="Palatino Linotype" w:hAnsi="Palatino Linotype"/>
          <w:color w:val="231F20"/>
          <w:spacing w:val="-17"/>
          <w:sz w:val="15"/>
        </w:rPr>
        <w:t> </w:t>
      </w:r>
      <w:r>
        <w:rPr>
          <w:rFonts w:ascii="Palatino Linotype" w:hAnsi="Palatino Linotype"/>
          <w:color w:val="231F20"/>
          <w:sz w:val="15"/>
        </w:rPr>
        <w:t>45.</w:t>
      </w:r>
    </w:p>
    <w:p>
      <w:pPr>
        <w:pStyle w:val="ListParagraph"/>
        <w:numPr>
          <w:ilvl w:val="0"/>
          <w:numId w:val="3"/>
        </w:numPr>
        <w:tabs>
          <w:tab w:pos="440" w:val="left" w:leader="none"/>
        </w:tabs>
        <w:spacing w:line="185" w:lineRule="exact" w:before="0" w:after="0"/>
        <w:ind w:left="439" w:right="0" w:hanging="157"/>
        <w:jc w:val="both"/>
        <w:rPr>
          <w:rFonts w:ascii="Adobe Jenson Pro Lt Capt" w:hAnsi="Adobe Jenson Pro Lt Capt"/>
          <w:color w:val="231F20"/>
          <w:sz w:val="12"/>
        </w:rPr>
      </w:pPr>
      <w:r>
        <w:rPr>
          <w:color w:val="231F20"/>
          <w:sz w:val="15"/>
        </w:rPr>
        <w:t>UNHCHR (note 40), principles</w:t>
      </w:r>
      <w:r>
        <w:rPr>
          <w:color w:val="231F20"/>
          <w:spacing w:val="-17"/>
          <w:sz w:val="15"/>
        </w:rPr>
        <w:t> </w:t>
      </w:r>
      <w:r>
        <w:rPr>
          <w:color w:val="231F20"/>
          <w:sz w:val="15"/>
        </w:rPr>
        <w:t>24–27.</w:t>
      </w:r>
    </w:p>
    <w:p>
      <w:pPr>
        <w:spacing w:after="0" w:line="185" w:lineRule="exact"/>
        <w:jc w:val="both"/>
        <w:rPr>
          <w:rFonts w:ascii="Adobe Jenson Pro Lt Capt" w:hAnsi="Adobe Jenson Pro Lt Capt"/>
          <w:sz w:val="12"/>
        </w:rPr>
        <w:sectPr>
          <w:pgSz w:w="8850" w:h="13270"/>
          <w:pgMar w:header="793" w:footer="0" w:top="1080" w:bottom="280" w:left="1080" w:right="1060"/>
        </w:sectPr>
      </w:pPr>
    </w:p>
    <w:p>
      <w:pPr>
        <w:pStyle w:val="BodyText"/>
        <w:spacing w:line="278" w:lineRule="auto" w:before="141"/>
        <w:ind w:left="101" w:right="116"/>
      </w:pPr>
      <w:bookmarkStart w:name="Practical operational responses" w:id="9"/>
      <w:bookmarkEnd w:id="9"/>
      <w:r>
        <w:rPr/>
      </w:r>
      <w:r>
        <w:rPr>
          <w:color w:val="231F20"/>
        </w:rPr>
        <w:t>an international responsibility to take ‘collective action’ to protect threat- ened populations. It will take time, however, for the concept to gain prac- tical application on the ground.</w:t>
      </w:r>
      <w:r>
        <w:rPr>
          <w:rFonts w:ascii="Adobe Jenson Pro Lt Capt" w:hAnsi="Adobe Jenson Pro Lt Capt"/>
          <w:b w:val="0"/>
          <w:color w:val="231F20"/>
          <w:position w:val="6"/>
          <w:sz w:val="12"/>
        </w:rPr>
        <w:t>53 </w:t>
      </w:r>
      <w:r>
        <w:rPr>
          <w:color w:val="231F20"/>
        </w:rPr>
        <w:t>Many misunderstandings have  arisen  about its meaning. States in the Group of 77, for example, have expressed   the fear that R2P could facilitate military intervention in their  internal  affairs by the powerful states of the global north. Others mistakenly assume the R2P concept to be the solution for just about  every  human  rights,  health and environmental problem involving massive</w:t>
      </w:r>
      <w:r>
        <w:rPr>
          <w:color w:val="231F20"/>
          <w:spacing w:val="14"/>
        </w:rPr>
        <w:t> </w:t>
      </w:r>
      <w:r>
        <w:rPr>
          <w:color w:val="231F20"/>
        </w:rPr>
        <w:t>suffering.</w:t>
      </w:r>
    </w:p>
    <w:p>
      <w:pPr>
        <w:pStyle w:val="BodyText"/>
        <w:spacing w:before="6"/>
        <w:ind w:left="0"/>
        <w:jc w:val="left"/>
        <w:rPr>
          <w:sz w:val="27"/>
        </w:rPr>
      </w:pPr>
    </w:p>
    <w:p>
      <w:pPr>
        <w:pStyle w:val="Heading2"/>
      </w:pPr>
      <w:r>
        <w:rPr>
          <w:color w:val="231F20"/>
          <w:w w:val="110"/>
        </w:rPr>
        <w:t>Practical operational responses</w:t>
      </w:r>
    </w:p>
    <w:p>
      <w:pPr>
        <w:pStyle w:val="BodyText"/>
        <w:spacing w:line="273" w:lineRule="auto" w:before="176"/>
        <w:ind w:left="101" w:right="118"/>
      </w:pPr>
      <w:r>
        <w:rPr>
          <w:color w:val="231F20"/>
        </w:rPr>
        <w:t>For the time being, protection for IDPs remains far less developed than for refugees. When the UNHCR provides protection to refugees, it basically defends their legal right to asylum and </w:t>
      </w:r>
      <w:r>
        <w:rPr>
          <w:rFonts w:ascii="Palatino Linotype" w:hAnsi="Palatino Linotype"/>
          <w:i/>
          <w:color w:val="231F20"/>
        </w:rPr>
        <w:t>non-refoulement </w:t>
      </w:r>
      <w:r>
        <w:rPr>
          <w:color w:val="231F20"/>
        </w:rPr>
        <w:t>in accordance with  the Refugee Convention. In the case of IDPs, where there is no inter-  national treaty or assigned agency, the meaning of protection has had to be clariﬁed by the UN’s Inter-Agency Standing Committee (IASC). Composed   of the major international humanitarian, human rights and development organizations, the IASC issued an IDP policy in 2000 which deﬁned pro- tection as encompassing ‘all activities aimed at  obtaining  full  respect  for the rights of the individual in accordance with the letter and the spirit of     the relevant bodies of law (i.e. human rights, humanitarian and</w:t>
      </w:r>
      <w:r>
        <w:rPr>
          <w:color w:val="231F20"/>
          <w:spacing w:val="28"/>
        </w:rPr>
        <w:t> </w:t>
      </w:r>
      <w:r>
        <w:rPr>
          <w:color w:val="231F20"/>
        </w:rPr>
        <w:t>refugee</w:t>
      </w:r>
    </w:p>
    <w:p>
      <w:pPr>
        <w:pStyle w:val="BodyText"/>
        <w:spacing w:line="278" w:lineRule="auto"/>
        <w:ind w:right="118"/>
        <w:rPr>
          <w:rFonts w:ascii="Adobe Jenson Pro Lt Capt" w:hAnsi="Adobe Jenson Pro Lt Capt"/>
          <w:b w:val="0"/>
          <w:sz w:val="12"/>
        </w:rPr>
      </w:pPr>
      <w:r>
        <w:rPr>
          <w:color w:val="231F20"/>
        </w:rPr>
        <w:t>law)’.</w:t>
      </w:r>
      <w:r>
        <w:rPr>
          <w:rFonts w:ascii="Adobe Jenson Pro Lt Capt" w:hAnsi="Adobe Jenson Pro Lt Capt"/>
          <w:b w:val="0"/>
          <w:color w:val="231F20"/>
          <w:position w:val="6"/>
          <w:sz w:val="12"/>
        </w:rPr>
        <w:t>54 </w:t>
      </w:r>
      <w:r>
        <w:rPr>
          <w:color w:val="231F20"/>
        </w:rPr>
        <w:t>On the basis of the Guiding Principles, the deﬁnition was  inter- preted to mean defending the physical security of  IDPs,  providing  them with the basic necessities of life and promoting the enjoyment of their fundamental economic, social, cultural, civil and political</w:t>
      </w:r>
      <w:r>
        <w:rPr>
          <w:color w:val="231F20"/>
          <w:spacing w:val="19"/>
        </w:rPr>
        <w:t> </w:t>
      </w:r>
      <w:r>
        <w:rPr>
          <w:color w:val="231F20"/>
        </w:rPr>
        <w:t>rights.</w:t>
      </w:r>
      <w:r>
        <w:rPr>
          <w:rFonts w:ascii="Adobe Jenson Pro Lt Capt" w:hAnsi="Adobe Jenson Pro Lt Capt"/>
          <w:b w:val="0"/>
          <w:color w:val="231F20"/>
          <w:position w:val="6"/>
          <w:sz w:val="12"/>
        </w:rPr>
        <w:t>55</w:t>
      </w:r>
    </w:p>
    <w:p>
      <w:pPr>
        <w:pStyle w:val="BodyText"/>
        <w:spacing w:before="8"/>
        <w:ind w:left="0"/>
        <w:jc w:val="left"/>
        <w:rPr>
          <w:rFonts w:ascii="Adobe Jenson Pro Lt Capt"/>
          <w:b w:val="0"/>
          <w:sz w:val="20"/>
        </w:rPr>
      </w:pPr>
    </w:p>
    <w:p>
      <w:pPr>
        <w:pStyle w:val="ListParagraph"/>
        <w:numPr>
          <w:ilvl w:val="0"/>
          <w:numId w:val="3"/>
        </w:numPr>
        <w:tabs>
          <w:tab w:pos="459" w:val="left" w:leader="none"/>
        </w:tabs>
        <w:spacing w:line="213" w:lineRule="auto" w:before="0" w:after="0"/>
        <w:ind w:left="100" w:right="119" w:firstLine="182"/>
        <w:jc w:val="both"/>
        <w:rPr>
          <w:rFonts w:ascii="Adobe Jenson Pro Lt Capt" w:hAnsi="Adobe Jenson Pro Lt Capt"/>
          <w:color w:val="231F20"/>
          <w:sz w:val="12"/>
        </w:rPr>
      </w:pPr>
      <w:r>
        <w:rPr>
          <w:color w:val="231F20"/>
          <w:sz w:val="15"/>
        </w:rPr>
        <w:t>The situation in Kenya (post-election violence in late 2007 and 2008) was the ﬁrst time the R2P ‘collective action’ clause was applied, and it provided an effective framework for mobilizing international</w:t>
      </w:r>
      <w:r>
        <w:rPr>
          <w:color w:val="231F20"/>
          <w:spacing w:val="-12"/>
          <w:sz w:val="15"/>
        </w:rPr>
        <w:t> </w:t>
      </w:r>
      <w:r>
        <w:rPr>
          <w:color w:val="231F20"/>
          <w:sz w:val="15"/>
        </w:rPr>
        <w:t>political</w:t>
      </w:r>
      <w:r>
        <w:rPr>
          <w:color w:val="231F20"/>
          <w:spacing w:val="-11"/>
          <w:sz w:val="15"/>
        </w:rPr>
        <w:t> </w:t>
      </w:r>
      <w:r>
        <w:rPr>
          <w:color w:val="231F20"/>
          <w:sz w:val="15"/>
        </w:rPr>
        <w:t>action</w:t>
      </w:r>
      <w:r>
        <w:rPr>
          <w:color w:val="231F20"/>
          <w:spacing w:val="-11"/>
          <w:sz w:val="15"/>
        </w:rPr>
        <w:t> </w:t>
      </w:r>
      <w:r>
        <w:rPr>
          <w:color w:val="231F20"/>
          <w:sz w:val="15"/>
        </w:rPr>
        <w:t>to</w:t>
      </w:r>
      <w:r>
        <w:rPr>
          <w:color w:val="231F20"/>
          <w:spacing w:val="-12"/>
          <w:sz w:val="15"/>
        </w:rPr>
        <w:t> </w:t>
      </w:r>
      <w:r>
        <w:rPr>
          <w:color w:val="231F20"/>
          <w:sz w:val="15"/>
        </w:rPr>
        <w:t>stanch</w:t>
      </w:r>
      <w:r>
        <w:rPr>
          <w:color w:val="231F20"/>
          <w:spacing w:val="-11"/>
          <w:sz w:val="15"/>
        </w:rPr>
        <w:t> </w:t>
      </w:r>
      <w:r>
        <w:rPr>
          <w:color w:val="231F20"/>
          <w:sz w:val="15"/>
        </w:rPr>
        <w:t>the</w:t>
      </w:r>
      <w:r>
        <w:rPr>
          <w:color w:val="231F20"/>
          <w:spacing w:val="-11"/>
          <w:sz w:val="15"/>
        </w:rPr>
        <w:t> </w:t>
      </w:r>
      <w:r>
        <w:rPr>
          <w:color w:val="231F20"/>
          <w:sz w:val="15"/>
        </w:rPr>
        <w:t>ethnic</w:t>
      </w:r>
      <w:r>
        <w:rPr>
          <w:color w:val="231F20"/>
          <w:spacing w:val="-12"/>
          <w:sz w:val="15"/>
        </w:rPr>
        <w:t> </w:t>
      </w:r>
      <w:r>
        <w:rPr>
          <w:color w:val="231F20"/>
          <w:sz w:val="15"/>
        </w:rPr>
        <w:t>violence.</w:t>
      </w:r>
      <w:r>
        <w:rPr>
          <w:color w:val="231F20"/>
          <w:spacing w:val="-11"/>
          <w:sz w:val="15"/>
        </w:rPr>
        <w:t> </w:t>
      </w:r>
      <w:r>
        <w:rPr>
          <w:color w:val="231F20"/>
          <w:sz w:val="15"/>
        </w:rPr>
        <w:t>At</w:t>
      </w:r>
      <w:r>
        <w:rPr>
          <w:color w:val="231F20"/>
          <w:spacing w:val="-11"/>
          <w:sz w:val="15"/>
        </w:rPr>
        <w:t> </w:t>
      </w:r>
      <w:r>
        <w:rPr>
          <w:color w:val="231F20"/>
          <w:sz w:val="15"/>
        </w:rPr>
        <w:t>the</w:t>
      </w:r>
      <w:r>
        <w:rPr>
          <w:color w:val="231F20"/>
          <w:spacing w:val="-12"/>
          <w:sz w:val="15"/>
        </w:rPr>
        <w:t> </w:t>
      </w:r>
      <w:r>
        <w:rPr>
          <w:color w:val="231F20"/>
          <w:sz w:val="15"/>
        </w:rPr>
        <w:t>same</w:t>
      </w:r>
      <w:r>
        <w:rPr>
          <w:color w:val="231F20"/>
          <w:spacing w:val="-11"/>
          <w:sz w:val="15"/>
        </w:rPr>
        <w:t> </w:t>
      </w:r>
      <w:r>
        <w:rPr>
          <w:color w:val="231F20"/>
          <w:sz w:val="15"/>
        </w:rPr>
        <w:t>time,</w:t>
      </w:r>
      <w:r>
        <w:rPr>
          <w:color w:val="231F20"/>
          <w:spacing w:val="-11"/>
          <w:sz w:val="15"/>
        </w:rPr>
        <w:t> </w:t>
      </w:r>
      <w:r>
        <w:rPr>
          <w:color w:val="231F20"/>
          <w:sz w:val="15"/>
        </w:rPr>
        <w:t>an</w:t>
      </w:r>
      <w:r>
        <w:rPr>
          <w:color w:val="231F20"/>
          <w:spacing w:val="-11"/>
          <w:sz w:val="15"/>
        </w:rPr>
        <w:t> </w:t>
      </w:r>
      <w:r>
        <w:rPr>
          <w:color w:val="231F20"/>
          <w:sz w:val="15"/>
        </w:rPr>
        <w:t>estimated</w:t>
      </w:r>
      <w:r>
        <w:rPr>
          <w:color w:val="231F20"/>
          <w:spacing w:val="-12"/>
          <w:sz w:val="15"/>
        </w:rPr>
        <w:t> </w:t>
      </w:r>
      <w:r>
        <w:rPr>
          <w:color w:val="231F20"/>
          <w:sz w:val="15"/>
        </w:rPr>
        <w:t>1000</w:t>
      </w:r>
      <w:r>
        <w:rPr>
          <w:color w:val="231F20"/>
          <w:spacing w:val="-11"/>
          <w:sz w:val="15"/>
        </w:rPr>
        <w:t> </w:t>
      </w:r>
      <w:r>
        <w:rPr>
          <w:color w:val="231F20"/>
          <w:sz w:val="15"/>
        </w:rPr>
        <w:t>civil- ians were killed and 500 000 forcibly displaced before action was taken, highlighting the need for preventive</w:t>
      </w:r>
      <w:r>
        <w:rPr>
          <w:color w:val="231F20"/>
          <w:spacing w:val="-5"/>
          <w:sz w:val="15"/>
        </w:rPr>
        <w:t> </w:t>
      </w:r>
      <w:r>
        <w:rPr>
          <w:color w:val="231F20"/>
          <w:sz w:val="15"/>
        </w:rPr>
        <w:t>steps.</w:t>
      </w:r>
      <w:r>
        <w:rPr>
          <w:color w:val="231F20"/>
          <w:spacing w:val="-4"/>
          <w:sz w:val="15"/>
        </w:rPr>
        <w:t> </w:t>
      </w:r>
      <w:r>
        <w:rPr>
          <w:color w:val="231F20"/>
          <w:sz w:val="15"/>
        </w:rPr>
        <w:t>Nor</w:t>
      </w:r>
      <w:r>
        <w:rPr>
          <w:color w:val="231F20"/>
          <w:spacing w:val="-4"/>
          <w:sz w:val="15"/>
        </w:rPr>
        <w:t> </w:t>
      </w:r>
      <w:r>
        <w:rPr>
          <w:color w:val="231F20"/>
          <w:sz w:val="15"/>
        </w:rPr>
        <w:t>has</w:t>
      </w:r>
      <w:r>
        <w:rPr>
          <w:color w:val="231F20"/>
          <w:spacing w:val="-4"/>
          <w:sz w:val="15"/>
        </w:rPr>
        <w:t> </w:t>
      </w:r>
      <w:r>
        <w:rPr>
          <w:color w:val="231F20"/>
          <w:sz w:val="15"/>
        </w:rPr>
        <w:t>R2P</w:t>
      </w:r>
      <w:r>
        <w:rPr>
          <w:color w:val="231F20"/>
          <w:spacing w:val="-4"/>
          <w:sz w:val="15"/>
        </w:rPr>
        <w:t> </w:t>
      </w:r>
      <w:r>
        <w:rPr>
          <w:color w:val="231F20"/>
          <w:sz w:val="15"/>
        </w:rPr>
        <w:t>been</w:t>
      </w:r>
      <w:r>
        <w:rPr>
          <w:color w:val="231F20"/>
          <w:spacing w:val="-4"/>
          <w:sz w:val="15"/>
        </w:rPr>
        <w:t> </w:t>
      </w:r>
      <w:r>
        <w:rPr>
          <w:color w:val="231F20"/>
          <w:sz w:val="15"/>
        </w:rPr>
        <w:t>effectively</w:t>
      </w:r>
      <w:r>
        <w:rPr>
          <w:color w:val="231F20"/>
          <w:spacing w:val="-5"/>
          <w:sz w:val="15"/>
        </w:rPr>
        <w:t> </w:t>
      </w:r>
      <w:r>
        <w:rPr>
          <w:color w:val="231F20"/>
          <w:sz w:val="15"/>
        </w:rPr>
        <w:t>applied</w:t>
      </w:r>
      <w:r>
        <w:rPr>
          <w:color w:val="231F20"/>
          <w:spacing w:val="-4"/>
          <w:sz w:val="15"/>
        </w:rPr>
        <w:t> </w:t>
      </w:r>
      <w:r>
        <w:rPr>
          <w:color w:val="231F20"/>
          <w:sz w:val="15"/>
        </w:rPr>
        <w:t>to</w:t>
      </w:r>
      <w:r>
        <w:rPr>
          <w:color w:val="231F20"/>
          <w:spacing w:val="-4"/>
          <w:sz w:val="15"/>
        </w:rPr>
        <w:t> </w:t>
      </w:r>
      <w:r>
        <w:rPr>
          <w:color w:val="231F20"/>
          <w:sz w:val="15"/>
        </w:rPr>
        <w:t>major</w:t>
      </w:r>
      <w:r>
        <w:rPr>
          <w:color w:val="231F20"/>
          <w:spacing w:val="-4"/>
          <w:sz w:val="15"/>
        </w:rPr>
        <w:t> </w:t>
      </w:r>
      <w:r>
        <w:rPr>
          <w:color w:val="231F20"/>
          <w:sz w:val="15"/>
        </w:rPr>
        <w:t>cases</w:t>
      </w:r>
      <w:r>
        <w:rPr>
          <w:color w:val="231F20"/>
          <w:spacing w:val="-4"/>
          <w:sz w:val="15"/>
        </w:rPr>
        <w:t> </w:t>
      </w:r>
      <w:r>
        <w:rPr>
          <w:color w:val="231F20"/>
          <w:sz w:val="15"/>
        </w:rPr>
        <w:t>where</w:t>
      </w:r>
      <w:r>
        <w:rPr>
          <w:color w:val="231F20"/>
          <w:spacing w:val="-4"/>
          <w:sz w:val="15"/>
        </w:rPr>
        <w:t> </w:t>
      </w:r>
      <w:r>
        <w:rPr>
          <w:color w:val="231F20"/>
          <w:sz w:val="15"/>
        </w:rPr>
        <w:t>protection</w:t>
      </w:r>
      <w:r>
        <w:rPr>
          <w:color w:val="231F20"/>
          <w:spacing w:val="-5"/>
          <w:sz w:val="15"/>
        </w:rPr>
        <w:t> </w:t>
      </w:r>
      <w:r>
        <w:rPr>
          <w:color w:val="231F20"/>
          <w:sz w:val="15"/>
        </w:rPr>
        <w:t>is</w:t>
      </w:r>
      <w:r>
        <w:rPr>
          <w:color w:val="231F20"/>
          <w:spacing w:val="-4"/>
          <w:sz w:val="15"/>
        </w:rPr>
        <w:t> </w:t>
      </w:r>
      <w:r>
        <w:rPr>
          <w:color w:val="231F20"/>
          <w:sz w:val="15"/>
        </w:rPr>
        <w:t>urgently needed such as in Darfur, the DRC and Somalia, prompting the UN Secretary-General’s Special Adviser</w:t>
      </w:r>
      <w:r>
        <w:rPr>
          <w:color w:val="231F20"/>
          <w:spacing w:val="-7"/>
          <w:sz w:val="15"/>
        </w:rPr>
        <w:t> </w:t>
      </w:r>
      <w:r>
        <w:rPr>
          <w:color w:val="231F20"/>
          <w:sz w:val="15"/>
        </w:rPr>
        <w:t>on</w:t>
      </w:r>
      <w:r>
        <w:rPr>
          <w:color w:val="231F20"/>
          <w:spacing w:val="-7"/>
          <w:sz w:val="15"/>
        </w:rPr>
        <w:t> </w:t>
      </w:r>
      <w:r>
        <w:rPr>
          <w:color w:val="231F20"/>
          <w:sz w:val="15"/>
        </w:rPr>
        <w:t>R2P</w:t>
      </w:r>
      <w:r>
        <w:rPr>
          <w:color w:val="231F20"/>
          <w:spacing w:val="-7"/>
          <w:sz w:val="15"/>
        </w:rPr>
        <w:t> </w:t>
      </w:r>
      <w:r>
        <w:rPr>
          <w:color w:val="231F20"/>
          <w:sz w:val="15"/>
        </w:rPr>
        <w:t>to</w:t>
      </w:r>
      <w:r>
        <w:rPr>
          <w:color w:val="231F20"/>
          <w:spacing w:val="-7"/>
          <w:sz w:val="15"/>
        </w:rPr>
        <w:t> </w:t>
      </w:r>
      <w:r>
        <w:rPr>
          <w:color w:val="231F20"/>
          <w:sz w:val="15"/>
        </w:rPr>
        <w:t>observe</w:t>
      </w:r>
      <w:r>
        <w:rPr>
          <w:color w:val="231F20"/>
          <w:spacing w:val="-6"/>
          <w:sz w:val="15"/>
        </w:rPr>
        <w:t> </w:t>
      </w:r>
      <w:r>
        <w:rPr>
          <w:color w:val="231F20"/>
          <w:sz w:val="15"/>
        </w:rPr>
        <w:t>that</w:t>
      </w:r>
      <w:r>
        <w:rPr>
          <w:color w:val="231F20"/>
          <w:spacing w:val="-7"/>
          <w:sz w:val="15"/>
        </w:rPr>
        <w:t> </w:t>
      </w:r>
      <w:r>
        <w:rPr>
          <w:color w:val="231F20"/>
          <w:sz w:val="15"/>
        </w:rPr>
        <w:t>‘skeptics</w:t>
      </w:r>
      <w:r>
        <w:rPr>
          <w:color w:val="231F20"/>
          <w:spacing w:val="-7"/>
          <w:sz w:val="15"/>
        </w:rPr>
        <w:t> </w:t>
      </w:r>
      <w:r>
        <w:rPr>
          <w:color w:val="231F20"/>
          <w:sz w:val="15"/>
        </w:rPr>
        <w:t>and</w:t>
      </w:r>
      <w:r>
        <w:rPr>
          <w:color w:val="231F20"/>
          <w:spacing w:val="-7"/>
          <w:sz w:val="15"/>
        </w:rPr>
        <w:t> </w:t>
      </w:r>
      <w:r>
        <w:rPr>
          <w:color w:val="231F20"/>
          <w:sz w:val="15"/>
        </w:rPr>
        <w:t>public</w:t>
      </w:r>
      <w:r>
        <w:rPr>
          <w:color w:val="231F20"/>
          <w:spacing w:val="-7"/>
          <w:sz w:val="15"/>
        </w:rPr>
        <w:t> </w:t>
      </w:r>
      <w:r>
        <w:rPr>
          <w:color w:val="231F20"/>
          <w:sz w:val="15"/>
        </w:rPr>
        <w:t>observers</w:t>
      </w:r>
      <w:r>
        <w:rPr>
          <w:color w:val="231F20"/>
          <w:spacing w:val="-6"/>
          <w:sz w:val="15"/>
        </w:rPr>
        <w:t> </w:t>
      </w:r>
      <w:r>
        <w:rPr>
          <w:color w:val="231F20"/>
          <w:sz w:val="15"/>
        </w:rPr>
        <w:t>alike</w:t>
      </w:r>
      <w:r>
        <w:rPr>
          <w:color w:val="231F20"/>
          <w:spacing w:val="-7"/>
          <w:sz w:val="15"/>
        </w:rPr>
        <w:t> </w:t>
      </w:r>
      <w:r>
        <w:rPr>
          <w:color w:val="231F20"/>
          <w:sz w:val="15"/>
        </w:rPr>
        <w:t>may</w:t>
      </w:r>
      <w:r>
        <w:rPr>
          <w:color w:val="231F20"/>
          <w:spacing w:val="-7"/>
          <w:sz w:val="15"/>
        </w:rPr>
        <w:t> </w:t>
      </w:r>
      <w:r>
        <w:rPr>
          <w:color w:val="231F20"/>
          <w:sz w:val="15"/>
        </w:rPr>
        <w:t>well</w:t>
      </w:r>
      <w:r>
        <w:rPr>
          <w:color w:val="231F20"/>
          <w:spacing w:val="-7"/>
          <w:sz w:val="15"/>
        </w:rPr>
        <w:t> </w:t>
      </w:r>
      <w:r>
        <w:rPr>
          <w:color w:val="231F20"/>
          <w:sz w:val="15"/>
        </w:rPr>
        <w:t>question</w:t>
      </w:r>
      <w:r>
        <w:rPr>
          <w:color w:val="231F20"/>
          <w:spacing w:val="-7"/>
          <w:sz w:val="15"/>
        </w:rPr>
        <w:t> </w:t>
      </w:r>
      <w:r>
        <w:rPr>
          <w:color w:val="231F20"/>
          <w:sz w:val="15"/>
        </w:rPr>
        <w:t>the</w:t>
      </w:r>
      <w:r>
        <w:rPr>
          <w:color w:val="231F20"/>
          <w:spacing w:val="-6"/>
          <w:sz w:val="15"/>
        </w:rPr>
        <w:t> </w:t>
      </w:r>
      <w:r>
        <w:rPr>
          <w:color w:val="231F20"/>
          <w:sz w:val="15"/>
        </w:rPr>
        <w:t>utility</w:t>
      </w:r>
      <w:r>
        <w:rPr>
          <w:color w:val="231F20"/>
          <w:spacing w:val="-7"/>
          <w:sz w:val="15"/>
        </w:rPr>
        <w:t> </w:t>
      </w:r>
      <w:r>
        <w:rPr>
          <w:color w:val="231F20"/>
          <w:sz w:val="15"/>
        </w:rPr>
        <w:t>of R2P principles if they are applied only to the easier cases’. Luck, E. C., </w:t>
      </w:r>
      <w:r>
        <w:rPr>
          <w:i/>
          <w:color w:val="231F20"/>
          <w:sz w:val="15"/>
        </w:rPr>
        <w:t>The United Nations and the </w:t>
      </w:r>
      <w:r>
        <w:rPr>
          <w:i/>
          <w:color w:val="231F20"/>
          <w:sz w:val="15"/>
        </w:rPr>
        <w:t>Responsibility to Protect</w:t>
      </w:r>
      <w:r>
        <w:rPr>
          <w:color w:val="231F20"/>
          <w:sz w:val="15"/>
        </w:rPr>
        <w:t>, Stanley Foundation Policy Analysis Brief (Stanley Foundation: Muscatine, IA,</w:t>
      </w:r>
      <w:r>
        <w:rPr>
          <w:color w:val="231F20"/>
          <w:spacing w:val="-7"/>
          <w:sz w:val="15"/>
        </w:rPr>
        <w:t> </w:t>
      </w:r>
      <w:r>
        <w:rPr>
          <w:color w:val="231F20"/>
          <w:sz w:val="15"/>
        </w:rPr>
        <w:t>Aug.</w:t>
      </w:r>
      <w:r>
        <w:rPr>
          <w:color w:val="231F20"/>
          <w:spacing w:val="-7"/>
          <w:sz w:val="15"/>
        </w:rPr>
        <w:t> </w:t>
      </w:r>
      <w:r>
        <w:rPr>
          <w:color w:val="231F20"/>
          <w:sz w:val="15"/>
        </w:rPr>
        <w:t>2008),</w:t>
      </w:r>
      <w:r>
        <w:rPr>
          <w:color w:val="231F20"/>
          <w:spacing w:val="-7"/>
          <w:sz w:val="15"/>
        </w:rPr>
        <w:t> </w:t>
      </w:r>
      <w:r>
        <w:rPr>
          <w:color w:val="231F20"/>
          <w:sz w:val="15"/>
        </w:rPr>
        <w:t>p.</w:t>
      </w:r>
      <w:r>
        <w:rPr>
          <w:color w:val="231F20"/>
          <w:spacing w:val="-7"/>
          <w:sz w:val="15"/>
        </w:rPr>
        <w:t> </w:t>
      </w:r>
      <w:r>
        <w:rPr>
          <w:color w:val="231F20"/>
          <w:sz w:val="15"/>
        </w:rPr>
        <w:t>6.</w:t>
      </w:r>
      <w:r>
        <w:rPr>
          <w:color w:val="231F20"/>
          <w:spacing w:val="-7"/>
          <w:sz w:val="15"/>
        </w:rPr>
        <w:t> </w:t>
      </w:r>
      <w:r>
        <w:rPr>
          <w:color w:val="231F20"/>
          <w:sz w:val="15"/>
        </w:rPr>
        <w:t>On</w:t>
      </w:r>
      <w:r>
        <w:rPr>
          <w:color w:val="231F20"/>
          <w:spacing w:val="-6"/>
          <w:sz w:val="15"/>
        </w:rPr>
        <w:t> </w:t>
      </w:r>
      <w:r>
        <w:rPr>
          <w:color w:val="231F20"/>
          <w:sz w:val="15"/>
        </w:rPr>
        <w:t>the</w:t>
      </w:r>
      <w:r>
        <w:rPr>
          <w:color w:val="231F20"/>
          <w:spacing w:val="-7"/>
          <w:sz w:val="15"/>
        </w:rPr>
        <w:t> </w:t>
      </w:r>
      <w:r>
        <w:rPr>
          <w:color w:val="231F20"/>
          <w:sz w:val="15"/>
        </w:rPr>
        <w:t>situation</w:t>
      </w:r>
      <w:r>
        <w:rPr>
          <w:color w:val="231F20"/>
          <w:spacing w:val="-7"/>
          <w:sz w:val="15"/>
        </w:rPr>
        <w:t> </w:t>
      </w:r>
      <w:r>
        <w:rPr>
          <w:color w:val="231F20"/>
          <w:sz w:val="15"/>
        </w:rPr>
        <w:t>in</w:t>
      </w:r>
      <w:r>
        <w:rPr>
          <w:color w:val="231F20"/>
          <w:spacing w:val="-7"/>
          <w:sz w:val="15"/>
        </w:rPr>
        <w:t> </w:t>
      </w:r>
      <w:r>
        <w:rPr>
          <w:color w:val="231F20"/>
          <w:sz w:val="15"/>
        </w:rPr>
        <w:t>Kenya</w:t>
      </w:r>
      <w:r>
        <w:rPr>
          <w:color w:val="231F20"/>
          <w:spacing w:val="-7"/>
          <w:sz w:val="15"/>
        </w:rPr>
        <w:t> </w:t>
      </w:r>
      <w:r>
        <w:rPr>
          <w:color w:val="231F20"/>
          <w:sz w:val="15"/>
        </w:rPr>
        <w:t>see</w:t>
      </w:r>
      <w:r>
        <w:rPr>
          <w:color w:val="231F20"/>
          <w:spacing w:val="-7"/>
          <w:sz w:val="15"/>
        </w:rPr>
        <w:t> </w:t>
      </w:r>
      <w:r>
        <w:rPr>
          <w:color w:val="231F20"/>
          <w:sz w:val="15"/>
        </w:rPr>
        <w:t>UN</w:t>
      </w:r>
      <w:r>
        <w:rPr>
          <w:color w:val="231F20"/>
          <w:spacing w:val="-6"/>
          <w:sz w:val="15"/>
        </w:rPr>
        <w:t> </w:t>
      </w:r>
      <w:r>
        <w:rPr>
          <w:color w:val="231F20"/>
          <w:sz w:val="15"/>
        </w:rPr>
        <w:t>Office</w:t>
      </w:r>
      <w:r>
        <w:rPr>
          <w:color w:val="231F20"/>
          <w:spacing w:val="-7"/>
          <w:sz w:val="15"/>
        </w:rPr>
        <w:t> </w:t>
      </w:r>
      <w:r>
        <w:rPr>
          <w:color w:val="231F20"/>
          <w:sz w:val="15"/>
        </w:rPr>
        <w:t>for</w:t>
      </w:r>
      <w:r>
        <w:rPr>
          <w:color w:val="231F20"/>
          <w:spacing w:val="-7"/>
          <w:sz w:val="15"/>
        </w:rPr>
        <w:t> </w:t>
      </w:r>
      <w:r>
        <w:rPr>
          <w:color w:val="231F20"/>
          <w:sz w:val="15"/>
        </w:rPr>
        <w:t>the</w:t>
      </w:r>
      <w:r>
        <w:rPr>
          <w:color w:val="231F20"/>
          <w:spacing w:val="-7"/>
          <w:sz w:val="15"/>
        </w:rPr>
        <w:t> </w:t>
      </w:r>
      <w:r>
        <w:rPr>
          <w:color w:val="231F20"/>
          <w:sz w:val="15"/>
        </w:rPr>
        <w:t>Coordination</w:t>
      </w:r>
      <w:r>
        <w:rPr>
          <w:color w:val="231F20"/>
          <w:spacing w:val="-7"/>
          <w:sz w:val="15"/>
        </w:rPr>
        <w:t> </w:t>
      </w:r>
      <w:r>
        <w:rPr>
          <w:color w:val="231F20"/>
          <w:sz w:val="15"/>
        </w:rPr>
        <w:t>of</w:t>
      </w:r>
      <w:r>
        <w:rPr>
          <w:color w:val="231F20"/>
          <w:spacing w:val="-7"/>
          <w:sz w:val="15"/>
        </w:rPr>
        <w:t> </w:t>
      </w:r>
      <w:r>
        <w:rPr>
          <w:color w:val="231F20"/>
          <w:sz w:val="15"/>
        </w:rPr>
        <w:t>Humanitarian Affairs (OCHA), Regional Office for Central and East Africa, ‘Displaced populations report’, no. 3 (Jan.–June 2008), </w:t>
      </w:r>
      <w:hyperlink r:id="rId26">
        <w:r>
          <w:rPr>
            <w:color w:val="231F20"/>
            <w:sz w:val="15"/>
          </w:rPr>
          <w:t>&lt;http://www.internal-displacement.org/&gt;,</w:t>
        </w:r>
      </w:hyperlink>
      <w:r>
        <w:rPr>
          <w:color w:val="231F20"/>
          <w:sz w:val="15"/>
        </w:rPr>
        <w:t> p. 2; and McKenzie, D., ‘Thousands remain displaced months after Kenyan violence’, CNN, 16 May 2008, </w:t>
      </w:r>
      <w:hyperlink r:id="rId27">
        <w:r>
          <w:rPr>
            <w:color w:val="231F20"/>
            <w:sz w:val="15"/>
          </w:rPr>
          <w:t>&lt;http://www.cnn.com/2008/</w:t>
        </w:r>
      </w:hyperlink>
      <w:r>
        <w:rPr>
          <w:color w:val="231F20"/>
          <w:sz w:val="15"/>
        </w:rPr>
        <w:t> WORLD/africa/05/16/kenya.displaced/&gt;.</w:t>
      </w:r>
    </w:p>
    <w:p>
      <w:pPr>
        <w:pStyle w:val="ListParagraph"/>
        <w:numPr>
          <w:ilvl w:val="0"/>
          <w:numId w:val="3"/>
        </w:numPr>
        <w:tabs>
          <w:tab w:pos="440" w:val="left" w:leader="none"/>
        </w:tabs>
        <w:spacing w:line="213" w:lineRule="auto" w:before="0" w:after="0"/>
        <w:ind w:left="100" w:right="121" w:firstLine="182"/>
        <w:jc w:val="both"/>
        <w:rPr>
          <w:rFonts w:ascii="Adobe Jenson Pro Lt Capt"/>
          <w:color w:val="231F20"/>
          <w:sz w:val="12"/>
        </w:rPr>
      </w:pPr>
      <w:r>
        <w:rPr>
          <w:color w:val="231F20"/>
          <w:w w:val="105"/>
          <w:sz w:val="15"/>
        </w:rPr>
        <w:t>Inter-Agency</w:t>
      </w:r>
      <w:r>
        <w:rPr>
          <w:color w:val="231F20"/>
          <w:spacing w:val="-8"/>
          <w:w w:val="105"/>
          <w:sz w:val="15"/>
        </w:rPr>
        <w:t> </w:t>
      </w:r>
      <w:r>
        <w:rPr>
          <w:color w:val="231F20"/>
          <w:w w:val="105"/>
          <w:sz w:val="15"/>
        </w:rPr>
        <w:t>Standing</w:t>
      </w:r>
      <w:r>
        <w:rPr>
          <w:color w:val="231F20"/>
          <w:spacing w:val="-8"/>
          <w:w w:val="105"/>
          <w:sz w:val="15"/>
        </w:rPr>
        <w:t> </w:t>
      </w:r>
      <w:r>
        <w:rPr>
          <w:color w:val="231F20"/>
          <w:w w:val="105"/>
          <w:sz w:val="15"/>
        </w:rPr>
        <w:t>Committee</w:t>
      </w:r>
      <w:r>
        <w:rPr>
          <w:color w:val="231F20"/>
          <w:spacing w:val="-8"/>
          <w:w w:val="105"/>
          <w:sz w:val="15"/>
        </w:rPr>
        <w:t> </w:t>
      </w:r>
      <w:r>
        <w:rPr>
          <w:color w:val="231F20"/>
          <w:w w:val="105"/>
          <w:sz w:val="15"/>
        </w:rPr>
        <w:t>(IASC),</w:t>
      </w:r>
      <w:r>
        <w:rPr>
          <w:color w:val="231F20"/>
          <w:spacing w:val="-8"/>
          <w:w w:val="105"/>
          <w:sz w:val="15"/>
        </w:rPr>
        <w:t> </w:t>
      </w:r>
      <w:r>
        <w:rPr>
          <w:i/>
          <w:color w:val="231F20"/>
          <w:w w:val="105"/>
          <w:sz w:val="15"/>
        </w:rPr>
        <w:t>Protection</w:t>
      </w:r>
      <w:r>
        <w:rPr>
          <w:i/>
          <w:color w:val="231F20"/>
          <w:spacing w:val="-7"/>
          <w:w w:val="105"/>
          <w:sz w:val="15"/>
        </w:rPr>
        <w:t> </w:t>
      </w:r>
      <w:r>
        <w:rPr>
          <w:i/>
          <w:color w:val="231F20"/>
          <w:w w:val="105"/>
          <w:sz w:val="15"/>
        </w:rPr>
        <w:t>of</w:t>
      </w:r>
      <w:r>
        <w:rPr>
          <w:i/>
          <w:color w:val="231F20"/>
          <w:spacing w:val="-8"/>
          <w:w w:val="105"/>
          <w:sz w:val="15"/>
        </w:rPr>
        <w:t> </w:t>
      </w:r>
      <w:r>
        <w:rPr>
          <w:i/>
          <w:color w:val="231F20"/>
          <w:w w:val="105"/>
          <w:sz w:val="15"/>
        </w:rPr>
        <w:t>Internally</w:t>
      </w:r>
      <w:r>
        <w:rPr>
          <w:i/>
          <w:color w:val="231F20"/>
          <w:spacing w:val="-8"/>
          <w:w w:val="105"/>
          <w:sz w:val="15"/>
        </w:rPr>
        <w:t> </w:t>
      </w:r>
      <w:r>
        <w:rPr>
          <w:i/>
          <w:color w:val="231F20"/>
          <w:w w:val="105"/>
          <w:sz w:val="15"/>
        </w:rPr>
        <w:t>Displaced</w:t>
      </w:r>
      <w:r>
        <w:rPr>
          <w:i/>
          <w:color w:val="231F20"/>
          <w:spacing w:val="-8"/>
          <w:w w:val="105"/>
          <w:sz w:val="15"/>
        </w:rPr>
        <w:t> </w:t>
      </w:r>
      <w:r>
        <w:rPr>
          <w:i/>
          <w:color w:val="231F20"/>
          <w:w w:val="105"/>
          <w:sz w:val="15"/>
        </w:rPr>
        <w:t>Persons</w:t>
      </w:r>
      <w:r>
        <w:rPr>
          <w:color w:val="231F20"/>
          <w:w w:val="105"/>
          <w:sz w:val="15"/>
        </w:rPr>
        <w:t>,</w:t>
      </w:r>
      <w:r>
        <w:rPr>
          <w:color w:val="231F20"/>
          <w:spacing w:val="-8"/>
          <w:w w:val="105"/>
          <w:sz w:val="15"/>
        </w:rPr>
        <w:t> </w:t>
      </w:r>
      <w:r>
        <w:rPr>
          <w:color w:val="231F20"/>
          <w:w w:val="105"/>
          <w:sz w:val="15"/>
        </w:rPr>
        <w:t>Policy Paper</w:t>
      </w:r>
      <w:r>
        <w:rPr>
          <w:color w:val="231F20"/>
          <w:spacing w:val="-9"/>
          <w:w w:val="105"/>
          <w:sz w:val="15"/>
        </w:rPr>
        <w:t> </w:t>
      </w:r>
      <w:r>
        <w:rPr>
          <w:color w:val="231F20"/>
          <w:w w:val="105"/>
          <w:sz w:val="15"/>
        </w:rPr>
        <w:t>no.</w:t>
      </w:r>
      <w:r>
        <w:rPr>
          <w:color w:val="231F20"/>
          <w:spacing w:val="-8"/>
          <w:w w:val="105"/>
          <w:sz w:val="15"/>
        </w:rPr>
        <w:t> </w:t>
      </w:r>
      <w:r>
        <w:rPr>
          <w:color w:val="231F20"/>
          <w:w w:val="105"/>
          <w:sz w:val="15"/>
        </w:rPr>
        <w:t>2</w:t>
      </w:r>
      <w:r>
        <w:rPr>
          <w:color w:val="231F20"/>
          <w:spacing w:val="-8"/>
          <w:w w:val="105"/>
          <w:sz w:val="15"/>
        </w:rPr>
        <w:t> </w:t>
      </w:r>
      <w:r>
        <w:rPr>
          <w:color w:val="231F20"/>
          <w:w w:val="105"/>
          <w:sz w:val="15"/>
        </w:rPr>
        <w:t>(IASC:</w:t>
      </w:r>
      <w:r>
        <w:rPr>
          <w:color w:val="231F20"/>
          <w:spacing w:val="-9"/>
          <w:w w:val="105"/>
          <w:sz w:val="15"/>
        </w:rPr>
        <w:t> </w:t>
      </w:r>
      <w:r>
        <w:rPr>
          <w:color w:val="231F20"/>
          <w:w w:val="105"/>
          <w:sz w:val="15"/>
        </w:rPr>
        <w:t>Geneva,</w:t>
      </w:r>
      <w:r>
        <w:rPr>
          <w:color w:val="231F20"/>
          <w:spacing w:val="-8"/>
          <w:w w:val="105"/>
          <w:sz w:val="15"/>
        </w:rPr>
        <w:t> </w:t>
      </w:r>
      <w:r>
        <w:rPr>
          <w:color w:val="231F20"/>
          <w:w w:val="105"/>
          <w:sz w:val="15"/>
        </w:rPr>
        <w:t>Oct.</w:t>
      </w:r>
      <w:r>
        <w:rPr>
          <w:color w:val="231F20"/>
          <w:spacing w:val="-8"/>
          <w:w w:val="105"/>
          <w:sz w:val="15"/>
        </w:rPr>
        <w:t> </w:t>
      </w:r>
      <w:r>
        <w:rPr>
          <w:color w:val="231F20"/>
          <w:w w:val="105"/>
          <w:sz w:val="15"/>
        </w:rPr>
        <w:t>2000),</w:t>
      </w:r>
      <w:r>
        <w:rPr>
          <w:color w:val="231F20"/>
          <w:spacing w:val="-8"/>
          <w:w w:val="105"/>
          <w:sz w:val="15"/>
        </w:rPr>
        <w:t> </w:t>
      </w:r>
      <w:r>
        <w:rPr>
          <w:color w:val="231F20"/>
          <w:w w:val="105"/>
          <w:sz w:val="15"/>
        </w:rPr>
        <w:t>p.</w:t>
      </w:r>
      <w:r>
        <w:rPr>
          <w:color w:val="231F20"/>
          <w:spacing w:val="-9"/>
          <w:w w:val="105"/>
          <w:sz w:val="15"/>
        </w:rPr>
        <w:t> </w:t>
      </w:r>
      <w:r>
        <w:rPr>
          <w:color w:val="231F20"/>
          <w:w w:val="105"/>
          <w:sz w:val="15"/>
        </w:rPr>
        <w:t>4;</w:t>
      </w:r>
      <w:r>
        <w:rPr>
          <w:color w:val="231F20"/>
          <w:spacing w:val="-8"/>
          <w:w w:val="105"/>
          <w:sz w:val="15"/>
        </w:rPr>
        <w:t> </w:t>
      </w:r>
      <w:r>
        <w:rPr>
          <w:color w:val="231F20"/>
          <w:w w:val="105"/>
          <w:sz w:val="15"/>
        </w:rPr>
        <w:t>and</w:t>
      </w:r>
      <w:r>
        <w:rPr>
          <w:color w:val="231F20"/>
          <w:spacing w:val="-8"/>
          <w:w w:val="105"/>
          <w:sz w:val="15"/>
        </w:rPr>
        <w:t> </w:t>
      </w:r>
      <w:r>
        <w:rPr>
          <w:color w:val="231F20"/>
          <w:w w:val="105"/>
          <w:sz w:val="15"/>
        </w:rPr>
        <w:t>IASC,</w:t>
      </w:r>
      <w:r>
        <w:rPr>
          <w:color w:val="231F20"/>
          <w:spacing w:val="-7"/>
          <w:w w:val="105"/>
          <w:sz w:val="15"/>
        </w:rPr>
        <w:t> </w:t>
      </w:r>
      <w:r>
        <w:rPr>
          <w:i/>
          <w:color w:val="231F20"/>
          <w:w w:val="105"/>
          <w:sz w:val="15"/>
        </w:rPr>
        <w:t>Supplementary</w:t>
      </w:r>
      <w:r>
        <w:rPr>
          <w:i/>
          <w:color w:val="231F20"/>
          <w:spacing w:val="-9"/>
          <w:w w:val="105"/>
          <w:sz w:val="15"/>
        </w:rPr>
        <w:t> </w:t>
      </w:r>
      <w:r>
        <w:rPr>
          <w:i/>
          <w:color w:val="231F20"/>
          <w:w w:val="105"/>
          <w:sz w:val="15"/>
        </w:rPr>
        <w:t>Guidance</w:t>
      </w:r>
      <w:r>
        <w:rPr>
          <w:i/>
          <w:color w:val="231F20"/>
          <w:spacing w:val="-8"/>
          <w:w w:val="105"/>
          <w:sz w:val="15"/>
        </w:rPr>
        <w:t> </w:t>
      </w:r>
      <w:r>
        <w:rPr>
          <w:i/>
          <w:color w:val="231F20"/>
          <w:w w:val="105"/>
          <w:sz w:val="15"/>
        </w:rPr>
        <w:t>to</w:t>
      </w:r>
      <w:r>
        <w:rPr>
          <w:i/>
          <w:color w:val="231F20"/>
          <w:spacing w:val="-8"/>
          <w:w w:val="105"/>
          <w:sz w:val="15"/>
        </w:rPr>
        <w:t> </w:t>
      </w:r>
      <w:r>
        <w:rPr>
          <w:i/>
          <w:color w:val="231F20"/>
          <w:w w:val="105"/>
          <w:sz w:val="15"/>
        </w:rPr>
        <w:t>Humanitarian/ </w:t>
      </w:r>
      <w:r>
        <w:rPr>
          <w:i/>
          <w:color w:val="231F20"/>
          <w:w w:val="105"/>
          <w:sz w:val="15"/>
        </w:rPr>
        <w:t>Resident Coordinators on their Responsibilities in Relation to Internally Displaced Persons </w:t>
      </w:r>
      <w:r>
        <w:rPr>
          <w:color w:val="231F20"/>
          <w:w w:val="105"/>
          <w:sz w:val="15"/>
        </w:rPr>
        <w:t>(IASC: Geneva, May</w:t>
      </w:r>
      <w:r>
        <w:rPr>
          <w:color w:val="231F20"/>
          <w:spacing w:val="-13"/>
          <w:w w:val="105"/>
          <w:sz w:val="15"/>
        </w:rPr>
        <w:t> </w:t>
      </w:r>
      <w:r>
        <w:rPr>
          <w:color w:val="231F20"/>
          <w:w w:val="105"/>
          <w:sz w:val="15"/>
        </w:rPr>
        <w:t>2000).</w:t>
      </w:r>
    </w:p>
    <w:p>
      <w:pPr>
        <w:pStyle w:val="ListParagraph"/>
        <w:numPr>
          <w:ilvl w:val="0"/>
          <w:numId w:val="3"/>
        </w:numPr>
        <w:tabs>
          <w:tab w:pos="440" w:val="left" w:leader="none"/>
        </w:tabs>
        <w:spacing w:line="213" w:lineRule="auto" w:before="0" w:after="0"/>
        <w:ind w:left="100" w:right="117" w:firstLine="182"/>
        <w:jc w:val="both"/>
        <w:rPr>
          <w:rFonts w:ascii="Adobe Jenson Pro Lt Capt" w:hAnsi="Adobe Jenson Pro Lt Capt"/>
          <w:color w:val="231F20"/>
          <w:sz w:val="12"/>
        </w:rPr>
      </w:pPr>
      <w:r>
        <w:rPr>
          <w:color w:val="231F20"/>
          <w:sz w:val="15"/>
        </w:rPr>
        <w:t>See UN Economic and Social Council, Commission on Human Rights, ‘Speciﬁc groups and individuals: mass exoduses and displaced persons’, Report of the Representative of the Secretary- General</w:t>
      </w:r>
      <w:r>
        <w:rPr>
          <w:color w:val="231F20"/>
          <w:spacing w:val="-10"/>
          <w:sz w:val="15"/>
        </w:rPr>
        <w:t> </w:t>
      </w:r>
      <w:r>
        <w:rPr>
          <w:color w:val="231F20"/>
          <w:sz w:val="15"/>
        </w:rPr>
        <w:t>on</w:t>
      </w:r>
      <w:r>
        <w:rPr>
          <w:color w:val="231F20"/>
          <w:spacing w:val="-9"/>
          <w:sz w:val="15"/>
        </w:rPr>
        <w:t> </w:t>
      </w:r>
      <w:r>
        <w:rPr>
          <w:color w:val="231F20"/>
          <w:sz w:val="15"/>
        </w:rPr>
        <w:t>the</w:t>
      </w:r>
      <w:r>
        <w:rPr>
          <w:color w:val="231F20"/>
          <w:spacing w:val="-10"/>
          <w:sz w:val="15"/>
        </w:rPr>
        <w:t> </w:t>
      </w:r>
      <w:r>
        <w:rPr>
          <w:color w:val="231F20"/>
          <w:sz w:val="15"/>
        </w:rPr>
        <w:t>human</w:t>
      </w:r>
      <w:r>
        <w:rPr>
          <w:color w:val="231F20"/>
          <w:spacing w:val="-9"/>
          <w:sz w:val="15"/>
        </w:rPr>
        <w:t> </w:t>
      </w:r>
      <w:r>
        <w:rPr>
          <w:color w:val="231F20"/>
          <w:sz w:val="15"/>
        </w:rPr>
        <w:t>rights</w:t>
      </w:r>
      <w:r>
        <w:rPr>
          <w:color w:val="231F20"/>
          <w:spacing w:val="-9"/>
          <w:sz w:val="15"/>
        </w:rPr>
        <w:t> </w:t>
      </w:r>
      <w:r>
        <w:rPr>
          <w:color w:val="231F20"/>
          <w:sz w:val="15"/>
        </w:rPr>
        <w:t>of</w:t>
      </w:r>
      <w:r>
        <w:rPr>
          <w:color w:val="231F20"/>
          <w:spacing w:val="-10"/>
          <w:sz w:val="15"/>
        </w:rPr>
        <w:t> </w:t>
      </w:r>
      <w:r>
        <w:rPr>
          <w:color w:val="231F20"/>
          <w:sz w:val="15"/>
        </w:rPr>
        <w:t>internally</w:t>
      </w:r>
      <w:r>
        <w:rPr>
          <w:color w:val="231F20"/>
          <w:spacing w:val="-9"/>
          <w:sz w:val="15"/>
        </w:rPr>
        <w:t> </w:t>
      </w:r>
      <w:r>
        <w:rPr>
          <w:color w:val="231F20"/>
          <w:sz w:val="15"/>
        </w:rPr>
        <w:t>displaced</w:t>
      </w:r>
      <w:r>
        <w:rPr>
          <w:color w:val="231F20"/>
          <w:spacing w:val="-9"/>
          <w:sz w:val="15"/>
        </w:rPr>
        <w:t> </w:t>
      </w:r>
      <w:r>
        <w:rPr>
          <w:color w:val="231F20"/>
          <w:sz w:val="15"/>
        </w:rPr>
        <w:t>persons,</w:t>
      </w:r>
      <w:r>
        <w:rPr>
          <w:color w:val="231F20"/>
          <w:spacing w:val="-10"/>
          <w:sz w:val="15"/>
        </w:rPr>
        <w:t> </w:t>
      </w:r>
      <w:r>
        <w:rPr>
          <w:color w:val="231F20"/>
          <w:sz w:val="15"/>
        </w:rPr>
        <w:t>Walter</w:t>
      </w:r>
      <w:r>
        <w:rPr>
          <w:color w:val="231F20"/>
          <w:spacing w:val="-9"/>
          <w:sz w:val="15"/>
        </w:rPr>
        <w:t> </w:t>
      </w:r>
      <w:r>
        <w:rPr>
          <w:color w:val="231F20"/>
          <w:sz w:val="15"/>
        </w:rPr>
        <w:t>Kälin,</w:t>
      </w:r>
      <w:r>
        <w:rPr>
          <w:color w:val="231F20"/>
          <w:spacing w:val="-9"/>
          <w:sz w:val="15"/>
        </w:rPr>
        <w:t> </w:t>
      </w:r>
      <w:r>
        <w:rPr>
          <w:color w:val="231F20"/>
          <w:sz w:val="15"/>
        </w:rPr>
        <w:t>E/CN.4/2005/84,</w:t>
      </w:r>
      <w:r>
        <w:rPr>
          <w:color w:val="231F20"/>
          <w:spacing w:val="-10"/>
          <w:sz w:val="15"/>
        </w:rPr>
        <w:t> </w:t>
      </w:r>
      <w:r>
        <w:rPr>
          <w:color w:val="231F20"/>
          <w:sz w:val="15"/>
        </w:rPr>
        <w:t>12</w:t>
      </w:r>
      <w:r>
        <w:rPr>
          <w:color w:val="231F20"/>
          <w:spacing w:val="-9"/>
          <w:sz w:val="15"/>
        </w:rPr>
        <w:t> </w:t>
      </w:r>
      <w:r>
        <w:rPr>
          <w:color w:val="231F20"/>
          <w:sz w:val="15"/>
        </w:rPr>
        <w:t>Dec. 2004,</w:t>
      </w:r>
      <w:r>
        <w:rPr>
          <w:color w:val="231F20"/>
          <w:spacing w:val="-4"/>
          <w:sz w:val="15"/>
        </w:rPr>
        <w:t> </w:t>
      </w:r>
      <w:r>
        <w:rPr>
          <w:color w:val="231F20"/>
          <w:sz w:val="15"/>
        </w:rPr>
        <w:t>para.42.</w:t>
      </w:r>
    </w:p>
    <w:p>
      <w:pPr>
        <w:spacing w:after="0" w:line="213" w:lineRule="auto"/>
        <w:jc w:val="both"/>
        <w:rPr>
          <w:rFonts w:ascii="Adobe Jenson Pro Lt Capt" w:hAnsi="Adobe Jenson Pro Lt Capt"/>
          <w:sz w:val="12"/>
        </w:rPr>
        <w:sectPr>
          <w:pgSz w:w="8850" w:h="13270"/>
          <w:pgMar w:header="752" w:footer="0" w:top="1080" w:bottom="280" w:left="1080" w:right="1060"/>
        </w:sectPr>
      </w:pPr>
    </w:p>
    <w:p>
      <w:pPr>
        <w:pStyle w:val="BodyText"/>
        <w:spacing w:line="278" w:lineRule="auto" w:before="141"/>
        <w:ind w:right="117" w:firstLine="180"/>
        <w:rPr>
          <w:rFonts w:ascii="Adobe Jenson Pro Lt Capt" w:hAnsi="Adobe Jenson Pro Lt Capt"/>
          <w:b w:val="0"/>
          <w:sz w:val="12"/>
        </w:rPr>
      </w:pPr>
      <w:r>
        <w:rPr>
          <w:color w:val="231F20"/>
        </w:rPr>
        <w:t>When translated into operational steps, the UN’s IDP policy includes preventive actions to diminish the risk of displacement, measures to assure protection and assistance during displacement, and the integration of pro- tection concerns into return or resettlement programmes. It calls for moni- toring and reporting of protection problems, assertive advocacy for the  rights of IDPs and strengthening community-based</w:t>
      </w:r>
      <w:r>
        <w:rPr>
          <w:color w:val="231F20"/>
          <w:spacing w:val="13"/>
        </w:rPr>
        <w:t> </w:t>
      </w:r>
      <w:r>
        <w:rPr>
          <w:color w:val="231F20"/>
        </w:rPr>
        <w:t>initiatives.</w:t>
      </w:r>
      <w:r>
        <w:rPr>
          <w:rFonts w:ascii="Adobe Jenson Pro Lt Capt" w:hAnsi="Adobe Jenson Pro Lt Capt"/>
          <w:b w:val="0"/>
          <w:color w:val="231F20"/>
          <w:position w:val="6"/>
          <w:sz w:val="12"/>
        </w:rPr>
        <w:t>56</w:t>
      </w:r>
    </w:p>
    <w:p>
      <w:pPr>
        <w:pStyle w:val="BodyText"/>
        <w:spacing w:line="278" w:lineRule="auto"/>
        <w:ind w:right="117" w:firstLine="180"/>
      </w:pPr>
      <w:r>
        <w:rPr>
          <w:color w:val="231F20"/>
        </w:rPr>
        <w:t>The difficulties in carrying out these steps became clear in a 2004 UN evaluation, which found that the UN’s role in protection was ‘still largely      ad hoc and driven more by the personalities and convictions of individuals  on the ground than by an institutional, system-wide agenda’.</w:t>
      </w:r>
      <w:r>
        <w:rPr>
          <w:rFonts w:ascii="Adobe Jenson Pro Lt Capt" w:hAnsi="Adobe Jenson Pro Lt Capt"/>
          <w:b w:val="0"/>
          <w:color w:val="231F20"/>
          <w:position w:val="6"/>
          <w:sz w:val="12"/>
        </w:rPr>
        <w:t>57 </w:t>
      </w:r>
      <w:r>
        <w:rPr>
          <w:color w:val="231F20"/>
        </w:rPr>
        <w:t>Among the serious   institutional   problems   impeding   the   protection   of   IDPs</w:t>
      </w:r>
      <w:r>
        <w:rPr>
          <w:color w:val="231F20"/>
          <w:spacing w:val="44"/>
        </w:rPr>
        <w:t> </w:t>
      </w:r>
      <w:r>
        <w:rPr>
          <w:color w:val="231F20"/>
        </w:rPr>
        <w:t>were:</w:t>
      </w:r>
    </w:p>
    <w:p>
      <w:pPr>
        <w:pStyle w:val="BodyText"/>
        <w:spacing w:line="227" w:lineRule="exact"/>
      </w:pPr>
      <w:r>
        <w:rPr>
          <w:color w:val="231F20"/>
          <w:w w:val="105"/>
        </w:rPr>
        <w:t>(</w:t>
      </w:r>
      <w:r>
        <w:rPr>
          <w:rFonts w:ascii="Palatino Linotype"/>
          <w:i/>
          <w:color w:val="231F20"/>
          <w:w w:val="105"/>
        </w:rPr>
        <w:t>a</w:t>
      </w:r>
      <w:r>
        <w:rPr>
          <w:color w:val="231F20"/>
          <w:w w:val="105"/>
        </w:rPr>
        <w:t>)</w:t>
      </w:r>
      <w:r>
        <w:rPr>
          <w:color w:val="231F20"/>
          <w:spacing w:val="10"/>
          <w:w w:val="105"/>
        </w:rPr>
        <w:t> </w:t>
      </w:r>
      <w:r>
        <w:rPr>
          <w:color w:val="231F20"/>
          <w:w w:val="105"/>
        </w:rPr>
        <w:t>fear</w:t>
      </w:r>
      <w:r>
        <w:rPr>
          <w:color w:val="231F20"/>
          <w:spacing w:val="10"/>
          <w:w w:val="105"/>
        </w:rPr>
        <w:t> </w:t>
      </w:r>
      <w:r>
        <w:rPr>
          <w:color w:val="231F20"/>
          <w:w w:val="105"/>
        </w:rPr>
        <w:t>that</w:t>
      </w:r>
      <w:r>
        <w:rPr>
          <w:color w:val="231F20"/>
          <w:spacing w:val="10"/>
          <w:w w:val="105"/>
        </w:rPr>
        <w:t> </w:t>
      </w:r>
      <w:r>
        <w:rPr>
          <w:color w:val="231F20"/>
          <w:w w:val="105"/>
        </w:rPr>
        <w:t>advocating</w:t>
      </w:r>
      <w:r>
        <w:rPr>
          <w:color w:val="231F20"/>
          <w:spacing w:val="11"/>
          <w:w w:val="105"/>
        </w:rPr>
        <w:t> </w:t>
      </w:r>
      <w:r>
        <w:rPr>
          <w:color w:val="231F20"/>
          <w:w w:val="105"/>
        </w:rPr>
        <w:t>for</w:t>
      </w:r>
      <w:r>
        <w:rPr>
          <w:color w:val="231F20"/>
          <w:spacing w:val="10"/>
          <w:w w:val="105"/>
        </w:rPr>
        <w:t> </w:t>
      </w:r>
      <w:r>
        <w:rPr>
          <w:color w:val="231F20"/>
          <w:w w:val="105"/>
        </w:rPr>
        <w:t>IDP</w:t>
      </w:r>
      <w:r>
        <w:rPr>
          <w:color w:val="231F20"/>
          <w:spacing w:val="10"/>
          <w:w w:val="105"/>
        </w:rPr>
        <w:t> </w:t>
      </w:r>
      <w:r>
        <w:rPr>
          <w:color w:val="231F20"/>
          <w:w w:val="105"/>
        </w:rPr>
        <w:t>rights</w:t>
      </w:r>
      <w:r>
        <w:rPr>
          <w:color w:val="231F20"/>
          <w:spacing w:val="11"/>
          <w:w w:val="105"/>
        </w:rPr>
        <w:t> </w:t>
      </w:r>
      <w:r>
        <w:rPr>
          <w:color w:val="231F20"/>
          <w:w w:val="105"/>
        </w:rPr>
        <w:t>could</w:t>
      </w:r>
      <w:r>
        <w:rPr>
          <w:color w:val="231F20"/>
          <w:spacing w:val="10"/>
          <w:w w:val="105"/>
        </w:rPr>
        <w:t> </w:t>
      </w:r>
      <w:r>
        <w:rPr>
          <w:color w:val="231F20"/>
          <w:w w:val="105"/>
        </w:rPr>
        <w:t>interfere</w:t>
      </w:r>
      <w:r>
        <w:rPr>
          <w:color w:val="231F20"/>
          <w:spacing w:val="10"/>
          <w:w w:val="105"/>
        </w:rPr>
        <w:t> </w:t>
      </w:r>
      <w:r>
        <w:rPr>
          <w:color w:val="231F20"/>
          <w:w w:val="105"/>
        </w:rPr>
        <w:t>with</w:t>
      </w:r>
      <w:r>
        <w:rPr>
          <w:color w:val="231F20"/>
          <w:spacing w:val="11"/>
          <w:w w:val="105"/>
        </w:rPr>
        <w:t> </w:t>
      </w:r>
      <w:r>
        <w:rPr>
          <w:color w:val="231F20"/>
          <w:w w:val="105"/>
        </w:rPr>
        <w:t>close</w:t>
      </w:r>
      <w:r>
        <w:rPr>
          <w:color w:val="231F20"/>
          <w:spacing w:val="10"/>
          <w:w w:val="105"/>
        </w:rPr>
        <w:t> </w:t>
      </w:r>
      <w:r>
        <w:rPr>
          <w:color w:val="231F20"/>
          <w:w w:val="105"/>
        </w:rPr>
        <w:t>working</w:t>
      </w:r>
    </w:p>
    <w:p>
      <w:pPr>
        <w:pStyle w:val="BodyText"/>
        <w:spacing w:line="244" w:lineRule="auto" w:before="18"/>
        <w:ind w:right="118"/>
      </w:pPr>
      <w:r>
        <w:rPr>
          <w:color w:val="231F20"/>
        </w:rPr>
        <w:t>relationships with governments on political, humanitarian and develop- ment programmes; (</w:t>
      </w:r>
      <w:r>
        <w:rPr>
          <w:rFonts w:ascii="Palatino Linotype"/>
          <w:i/>
          <w:color w:val="231F20"/>
        </w:rPr>
        <w:t>b</w:t>
      </w:r>
      <w:r>
        <w:rPr>
          <w:color w:val="231F20"/>
        </w:rPr>
        <w:t>) insufficient support from headquarters for raising protection concerns; (</w:t>
      </w:r>
      <w:r>
        <w:rPr>
          <w:rFonts w:ascii="Palatino Linotype"/>
          <w:i/>
          <w:color w:val="231F20"/>
        </w:rPr>
        <w:t>c</w:t>
      </w:r>
      <w:r>
        <w:rPr>
          <w:color w:val="231F20"/>
        </w:rPr>
        <w:t>) lack of training in practical protection methods or   in the diplomatic skills needed to advocate for the broad range of rights to which IDPs are entitled; (</w:t>
      </w:r>
      <w:r>
        <w:rPr>
          <w:rFonts w:ascii="Palatino Linotype"/>
          <w:i/>
          <w:color w:val="231F20"/>
        </w:rPr>
        <w:t>d </w:t>
      </w:r>
      <w:r>
        <w:rPr>
          <w:color w:val="231F20"/>
        </w:rPr>
        <w:t>) lack of capacity to deploy experienced staff quickly and expand presence; (</w:t>
      </w:r>
      <w:r>
        <w:rPr>
          <w:rFonts w:ascii="Palatino Linotype"/>
          <w:i/>
          <w:color w:val="231F20"/>
        </w:rPr>
        <w:t>e</w:t>
      </w:r>
      <w:r>
        <w:rPr>
          <w:color w:val="231F20"/>
        </w:rPr>
        <w:t>) lack of clarity about who is responsible     for protection; and ( </w:t>
      </w:r>
      <w:r>
        <w:rPr>
          <w:rFonts w:ascii="Palatino Linotype"/>
          <w:i/>
          <w:color w:val="231F20"/>
        </w:rPr>
        <w:t>f </w:t>
      </w:r>
      <w:r>
        <w:rPr>
          <w:color w:val="231F20"/>
        </w:rPr>
        <w:t>) concern about the risks involved in undertaking protection</w:t>
      </w:r>
      <w:r>
        <w:rPr>
          <w:color w:val="231F20"/>
          <w:spacing w:val="23"/>
        </w:rPr>
        <w:t> </w:t>
      </w:r>
      <w:r>
        <w:rPr>
          <w:color w:val="231F20"/>
        </w:rPr>
        <w:t>activities.</w:t>
      </w:r>
      <w:r>
        <w:rPr>
          <w:color w:val="231F20"/>
          <w:spacing w:val="24"/>
        </w:rPr>
        <w:t> </w:t>
      </w:r>
      <w:r>
        <w:rPr>
          <w:color w:val="231F20"/>
        </w:rPr>
        <w:t>Protecting</w:t>
      </w:r>
      <w:r>
        <w:rPr>
          <w:color w:val="231F20"/>
          <w:spacing w:val="23"/>
        </w:rPr>
        <w:t> </w:t>
      </w:r>
      <w:r>
        <w:rPr>
          <w:color w:val="231F20"/>
        </w:rPr>
        <w:t>people</w:t>
      </w:r>
      <w:r>
        <w:rPr>
          <w:color w:val="231F20"/>
          <w:spacing w:val="24"/>
        </w:rPr>
        <w:t> </w:t>
      </w:r>
      <w:r>
        <w:rPr>
          <w:color w:val="231F20"/>
        </w:rPr>
        <w:t>in</w:t>
      </w:r>
      <w:r>
        <w:rPr>
          <w:color w:val="231F20"/>
          <w:spacing w:val="24"/>
        </w:rPr>
        <w:t> </w:t>
      </w:r>
      <w:r>
        <w:rPr>
          <w:color w:val="231F20"/>
        </w:rPr>
        <w:t>countries</w:t>
      </w:r>
      <w:r>
        <w:rPr>
          <w:color w:val="231F20"/>
          <w:spacing w:val="23"/>
        </w:rPr>
        <w:t> </w:t>
      </w:r>
      <w:r>
        <w:rPr>
          <w:color w:val="231F20"/>
        </w:rPr>
        <w:t>of</w:t>
      </w:r>
      <w:r>
        <w:rPr>
          <w:color w:val="231F20"/>
          <w:spacing w:val="24"/>
        </w:rPr>
        <w:t> </w:t>
      </w:r>
      <w:r>
        <w:rPr>
          <w:color w:val="231F20"/>
        </w:rPr>
        <w:t>origin</w:t>
      </w:r>
      <w:r>
        <w:rPr>
          <w:color w:val="231F20"/>
          <w:spacing w:val="24"/>
        </w:rPr>
        <w:t> </w:t>
      </w:r>
      <w:r>
        <w:rPr>
          <w:color w:val="231F20"/>
        </w:rPr>
        <w:t>has</w:t>
      </w:r>
      <w:r>
        <w:rPr>
          <w:color w:val="231F20"/>
          <w:spacing w:val="23"/>
        </w:rPr>
        <w:t> </w:t>
      </w:r>
      <w:r>
        <w:rPr>
          <w:color w:val="231F20"/>
        </w:rPr>
        <w:t>proved</w:t>
      </w:r>
      <w:r>
        <w:rPr>
          <w:color w:val="231F20"/>
          <w:spacing w:val="24"/>
        </w:rPr>
        <w:t> </w:t>
      </w:r>
      <w:r>
        <w:rPr>
          <w:color w:val="231F20"/>
        </w:rPr>
        <w:t>to</w:t>
      </w:r>
    </w:p>
    <w:p>
      <w:pPr>
        <w:pStyle w:val="BodyText"/>
        <w:spacing w:line="278" w:lineRule="auto" w:before="33"/>
        <w:ind w:right="120"/>
        <w:rPr>
          <w:rFonts w:ascii="Adobe Jenson Pro Lt Capt" w:hAnsi="Adobe Jenson Pro Lt Capt"/>
          <w:b w:val="0"/>
          <w:sz w:val="12"/>
        </w:rPr>
      </w:pPr>
      <w:r>
        <w:rPr>
          <w:color w:val="231F20"/>
        </w:rPr>
        <w:t>be far more dangerous than in host countries, a fact reﬂected in the increasing number of attacks on aid workers.</w:t>
      </w:r>
      <w:r>
        <w:rPr>
          <w:rFonts w:ascii="Adobe Jenson Pro Lt Capt" w:hAnsi="Adobe Jenson Pro Lt Capt"/>
          <w:b w:val="0"/>
          <w:color w:val="231F20"/>
          <w:position w:val="6"/>
          <w:sz w:val="12"/>
        </w:rPr>
        <w:t>58</w:t>
      </w:r>
    </w:p>
    <w:p>
      <w:pPr>
        <w:pStyle w:val="BodyText"/>
        <w:spacing w:line="278" w:lineRule="auto"/>
        <w:ind w:right="116" w:firstLine="180"/>
      </w:pPr>
      <w:r>
        <w:rPr>
          <w:color w:val="231F20"/>
        </w:rPr>
        <w:t>To create a more coherent system  for protecting IDPs, the UN assigned  the UNHCR the lead role in coordinating protection activities in the ﬁeld      in the new ‘cluster’ approach (in which different agencies under the col- laborative system assume lead roles in different sectors).</w:t>
      </w:r>
      <w:r>
        <w:rPr>
          <w:rFonts w:ascii="Adobe Jenson Pro Lt Capt" w:hAnsi="Adobe Jenson Pro Lt Capt"/>
          <w:b w:val="0"/>
          <w:color w:val="231F20"/>
          <w:position w:val="6"/>
          <w:sz w:val="12"/>
        </w:rPr>
        <w:t>59 </w:t>
      </w:r>
      <w:r>
        <w:rPr>
          <w:color w:val="231F20"/>
        </w:rPr>
        <w:t>The</w:t>
      </w:r>
      <w:r>
        <w:rPr>
          <w:color w:val="231F20"/>
          <w:spacing w:val="31"/>
        </w:rPr>
        <w:t> </w:t>
      </w:r>
      <w:r>
        <w:rPr>
          <w:color w:val="231F20"/>
        </w:rPr>
        <w:t>agency’s</w:t>
      </w:r>
    </w:p>
    <w:p>
      <w:pPr>
        <w:pStyle w:val="BodyText"/>
        <w:spacing w:before="10"/>
        <w:ind w:left="0"/>
        <w:jc w:val="left"/>
        <w:rPr>
          <w:sz w:val="22"/>
        </w:rPr>
      </w:pPr>
    </w:p>
    <w:p>
      <w:pPr>
        <w:pStyle w:val="ListParagraph"/>
        <w:numPr>
          <w:ilvl w:val="0"/>
          <w:numId w:val="3"/>
        </w:numPr>
        <w:tabs>
          <w:tab w:pos="440" w:val="left" w:leader="none"/>
        </w:tabs>
        <w:spacing w:line="213" w:lineRule="auto" w:before="1" w:after="0"/>
        <w:ind w:left="100" w:right="120" w:firstLine="182"/>
        <w:jc w:val="both"/>
        <w:rPr>
          <w:rFonts w:ascii="Adobe Jenson Pro Lt Capt" w:hAnsi="Adobe Jenson Pro Lt Capt"/>
          <w:color w:val="231F20"/>
          <w:sz w:val="12"/>
        </w:rPr>
      </w:pPr>
      <w:r>
        <w:rPr>
          <w:color w:val="231F20"/>
          <w:sz w:val="15"/>
        </w:rPr>
        <w:t>Additional</w:t>
      </w:r>
      <w:r>
        <w:rPr>
          <w:color w:val="231F20"/>
          <w:spacing w:val="-6"/>
          <w:sz w:val="15"/>
        </w:rPr>
        <w:t> </w:t>
      </w:r>
      <w:r>
        <w:rPr>
          <w:color w:val="231F20"/>
          <w:sz w:val="15"/>
        </w:rPr>
        <w:t>UN</w:t>
      </w:r>
      <w:r>
        <w:rPr>
          <w:color w:val="231F20"/>
          <w:spacing w:val="-6"/>
          <w:sz w:val="15"/>
        </w:rPr>
        <w:t> </w:t>
      </w:r>
      <w:r>
        <w:rPr>
          <w:color w:val="231F20"/>
          <w:sz w:val="15"/>
        </w:rPr>
        <w:t>documents</w:t>
      </w:r>
      <w:r>
        <w:rPr>
          <w:color w:val="231F20"/>
          <w:spacing w:val="-6"/>
          <w:sz w:val="15"/>
        </w:rPr>
        <w:t> </w:t>
      </w:r>
      <w:r>
        <w:rPr>
          <w:color w:val="231F20"/>
          <w:sz w:val="15"/>
        </w:rPr>
        <w:t>helped</w:t>
      </w:r>
      <w:r>
        <w:rPr>
          <w:color w:val="231F20"/>
          <w:spacing w:val="-6"/>
          <w:sz w:val="15"/>
        </w:rPr>
        <w:t> </w:t>
      </w:r>
      <w:r>
        <w:rPr>
          <w:color w:val="231F20"/>
          <w:sz w:val="15"/>
        </w:rPr>
        <w:t>deﬁne</w:t>
      </w:r>
      <w:r>
        <w:rPr>
          <w:color w:val="231F20"/>
          <w:spacing w:val="-5"/>
          <w:sz w:val="15"/>
        </w:rPr>
        <w:t> </w:t>
      </w:r>
      <w:r>
        <w:rPr>
          <w:color w:val="231F20"/>
          <w:sz w:val="15"/>
        </w:rPr>
        <w:t>protection</w:t>
      </w:r>
      <w:r>
        <w:rPr>
          <w:color w:val="231F20"/>
          <w:spacing w:val="-6"/>
          <w:sz w:val="15"/>
        </w:rPr>
        <w:t> </w:t>
      </w:r>
      <w:r>
        <w:rPr>
          <w:color w:val="231F20"/>
          <w:sz w:val="15"/>
        </w:rPr>
        <w:t>and</w:t>
      </w:r>
      <w:r>
        <w:rPr>
          <w:color w:val="231F20"/>
          <w:spacing w:val="-6"/>
          <w:sz w:val="15"/>
        </w:rPr>
        <w:t> </w:t>
      </w:r>
      <w:r>
        <w:rPr>
          <w:color w:val="231F20"/>
          <w:sz w:val="15"/>
        </w:rPr>
        <w:t>the</w:t>
      </w:r>
      <w:r>
        <w:rPr>
          <w:color w:val="231F20"/>
          <w:spacing w:val="-6"/>
          <w:sz w:val="15"/>
        </w:rPr>
        <w:t> </w:t>
      </w:r>
      <w:r>
        <w:rPr>
          <w:color w:val="231F20"/>
          <w:sz w:val="15"/>
        </w:rPr>
        <w:t>steps</w:t>
      </w:r>
      <w:r>
        <w:rPr>
          <w:color w:val="231F20"/>
          <w:spacing w:val="-6"/>
          <w:sz w:val="15"/>
        </w:rPr>
        <w:t> </w:t>
      </w:r>
      <w:r>
        <w:rPr>
          <w:color w:val="231F20"/>
          <w:sz w:val="15"/>
        </w:rPr>
        <w:t>to</w:t>
      </w:r>
      <w:r>
        <w:rPr>
          <w:color w:val="231F20"/>
          <w:spacing w:val="-5"/>
          <w:sz w:val="15"/>
        </w:rPr>
        <w:t> </w:t>
      </w:r>
      <w:r>
        <w:rPr>
          <w:color w:val="231F20"/>
          <w:sz w:val="15"/>
        </w:rPr>
        <w:t>take</w:t>
      </w:r>
      <w:r>
        <w:rPr>
          <w:color w:val="231F20"/>
          <w:spacing w:val="-6"/>
          <w:sz w:val="15"/>
        </w:rPr>
        <w:t> </w:t>
      </w:r>
      <w:r>
        <w:rPr>
          <w:color w:val="231F20"/>
          <w:sz w:val="15"/>
        </w:rPr>
        <w:t>to</w:t>
      </w:r>
      <w:r>
        <w:rPr>
          <w:color w:val="231F20"/>
          <w:spacing w:val="-6"/>
          <w:sz w:val="15"/>
        </w:rPr>
        <w:t> </w:t>
      </w:r>
      <w:r>
        <w:rPr>
          <w:color w:val="231F20"/>
          <w:sz w:val="15"/>
        </w:rPr>
        <w:t>enhance</w:t>
      </w:r>
      <w:r>
        <w:rPr>
          <w:color w:val="231F20"/>
          <w:spacing w:val="-6"/>
          <w:sz w:val="15"/>
        </w:rPr>
        <w:t> </w:t>
      </w:r>
      <w:r>
        <w:rPr>
          <w:color w:val="231F20"/>
          <w:sz w:val="15"/>
        </w:rPr>
        <w:t>security. See</w:t>
      </w:r>
      <w:r>
        <w:rPr>
          <w:color w:val="231F20"/>
          <w:spacing w:val="-10"/>
          <w:sz w:val="15"/>
        </w:rPr>
        <w:t> </w:t>
      </w:r>
      <w:r>
        <w:rPr>
          <w:color w:val="231F20"/>
          <w:sz w:val="15"/>
        </w:rPr>
        <w:t>UN</w:t>
      </w:r>
      <w:r>
        <w:rPr>
          <w:color w:val="231F20"/>
          <w:spacing w:val="-9"/>
          <w:sz w:val="15"/>
        </w:rPr>
        <w:t> </w:t>
      </w:r>
      <w:r>
        <w:rPr>
          <w:color w:val="231F20"/>
          <w:sz w:val="15"/>
        </w:rPr>
        <w:t>Office</w:t>
      </w:r>
      <w:r>
        <w:rPr>
          <w:color w:val="231F20"/>
          <w:spacing w:val="-9"/>
          <w:sz w:val="15"/>
        </w:rPr>
        <w:t> </w:t>
      </w:r>
      <w:r>
        <w:rPr>
          <w:color w:val="231F20"/>
          <w:sz w:val="15"/>
        </w:rPr>
        <w:t>for</w:t>
      </w:r>
      <w:r>
        <w:rPr>
          <w:color w:val="231F20"/>
          <w:spacing w:val="-9"/>
          <w:sz w:val="15"/>
        </w:rPr>
        <w:t> </w:t>
      </w:r>
      <w:r>
        <w:rPr>
          <w:color w:val="231F20"/>
          <w:sz w:val="15"/>
        </w:rPr>
        <w:t>the</w:t>
      </w:r>
      <w:r>
        <w:rPr>
          <w:color w:val="231F20"/>
          <w:spacing w:val="-9"/>
          <w:sz w:val="15"/>
        </w:rPr>
        <w:t> </w:t>
      </w:r>
      <w:r>
        <w:rPr>
          <w:color w:val="231F20"/>
          <w:sz w:val="15"/>
        </w:rPr>
        <w:t>Coordination</w:t>
      </w:r>
      <w:r>
        <w:rPr>
          <w:color w:val="231F20"/>
          <w:spacing w:val="-9"/>
          <w:sz w:val="15"/>
        </w:rPr>
        <w:t> </w:t>
      </w:r>
      <w:r>
        <w:rPr>
          <w:color w:val="231F20"/>
          <w:sz w:val="15"/>
        </w:rPr>
        <w:t>of</w:t>
      </w:r>
      <w:r>
        <w:rPr>
          <w:color w:val="231F20"/>
          <w:spacing w:val="-9"/>
          <w:sz w:val="15"/>
        </w:rPr>
        <w:t> </w:t>
      </w:r>
      <w:r>
        <w:rPr>
          <w:color w:val="231F20"/>
          <w:sz w:val="15"/>
        </w:rPr>
        <w:t>Humanitarian</w:t>
      </w:r>
      <w:r>
        <w:rPr>
          <w:color w:val="231F20"/>
          <w:spacing w:val="-9"/>
          <w:sz w:val="15"/>
        </w:rPr>
        <w:t> </w:t>
      </w:r>
      <w:r>
        <w:rPr>
          <w:color w:val="231F20"/>
          <w:sz w:val="15"/>
        </w:rPr>
        <w:t>Affairs</w:t>
      </w:r>
      <w:r>
        <w:rPr>
          <w:color w:val="231F20"/>
          <w:spacing w:val="-9"/>
          <w:sz w:val="15"/>
        </w:rPr>
        <w:t> </w:t>
      </w:r>
      <w:r>
        <w:rPr>
          <w:color w:val="231F20"/>
          <w:sz w:val="15"/>
        </w:rPr>
        <w:t>(OCHA)</w:t>
      </w:r>
      <w:r>
        <w:rPr>
          <w:color w:val="231F20"/>
          <w:spacing w:val="-9"/>
          <w:sz w:val="15"/>
        </w:rPr>
        <w:t> </w:t>
      </w:r>
      <w:r>
        <w:rPr>
          <w:color w:val="231F20"/>
          <w:sz w:val="15"/>
        </w:rPr>
        <w:t>and</w:t>
      </w:r>
      <w:r>
        <w:rPr>
          <w:color w:val="231F20"/>
          <w:spacing w:val="-9"/>
          <w:sz w:val="15"/>
        </w:rPr>
        <w:t> </w:t>
      </w:r>
      <w:r>
        <w:rPr>
          <w:color w:val="231F20"/>
          <w:sz w:val="15"/>
        </w:rPr>
        <w:t>the</w:t>
      </w:r>
      <w:r>
        <w:rPr>
          <w:color w:val="231F20"/>
          <w:spacing w:val="-9"/>
          <w:sz w:val="15"/>
        </w:rPr>
        <w:t> </w:t>
      </w:r>
      <w:r>
        <w:rPr>
          <w:color w:val="231F20"/>
          <w:sz w:val="15"/>
        </w:rPr>
        <w:t>Brookings</w:t>
      </w:r>
      <w:r>
        <w:rPr>
          <w:color w:val="231F20"/>
          <w:spacing w:val="-9"/>
          <w:sz w:val="15"/>
        </w:rPr>
        <w:t> </w:t>
      </w:r>
      <w:r>
        <w:rPr>
          <w:color w:val="231F20"/>
          <w:sz w:val="15"/>
        </w:rPr>
        <w:t>Institution Project on Internal Displacement, </w:t>
      </w:r>
      <w:r>
        <w:rPr>
          <w:i/>
          <w:color w:val="231F20"/>
          <w:sz w:val="15"/>
        </w:rPr>
        <w:t>Handbook for Applying the Guiding Principles on Internal </w:t>
      </w:r>
      <w:r>
        <w:rPr>
          <w:i/>
          <w:color w:val="231F20"/>
          <w:sz w:val="15"/>
        </w:rPr>
        <w:t>Displacement</w:t>
      </w:r>
      <w:r>
        <w:rPr>
          <w:i/>
          <w:color w:val="231F20"/>
          <w:spacing w:val="-10"/>
          <w:sz w:val="15"/>
        </w:rPr>
        <w:t> </w:t>
      </w:r>
      <w:r>
        <w:rPr>
          <w:color w:val="231F20"/>
          <w:sz w:val="15"/>
        </w:rPr>
        <w:t>(OCHA</w:t>
      </w:r>
      <w:r>
        <w:rPr>
          <w:color w:val="231F20"/>
          <w:spacing w:val="-10"/>
          <w:sz w:val="15"/>
        </w:rPr>
        <w:t> </w:t>
      </w:r>
      <w:r>
        <w:rPr>
          <w:color w:val="231F20"/>
          <w:sz w:val="15"/>
        </w:rPr>
        <w:t>and</w:t>
      </w:r>
      <w:r>
        <w:rPr>
          <w:color w:val="231F20"/>
          <w:spacing w:val="-10"/>
          <w:sz w:val="15"/>
        </w:rPr>
        <w:t> </w:t>
      </w:r>
      <w:r>
        <w:rPr>
          <w:color w:val="231F20"/>
          <w:sz w:val="15"/>
        </w:rPr>
        <w:t>Brookings</w:t>
      </w:r>
      <w:r>
        <w:rPr>
          <w:color w:val="231F20"/>
          <w:spacing w:val="-10"/>
          <w:sz w:val="15"/>
        </w:rPr>
        <w:t> </w:t>
      </w:r>
      <w:r>
        <w:rPr>
          <w:color w:val="231F20"/>
          <w:sz w:val="15"/>
        </w:rPr>
        <w:t>Institution</w:t>
      </w:r>
      <w:r>
        <w:rPr>
          <w:color w:val="231F20"/>
          <w:spacing w:val="-9"/>
          <w:sz w:val="15"/>
        </w:rPr>
        <w:t> </w:t>
      </w:r>
      <w:r>
        <w:rPr>
          <w:color w:val="231F20"/>
          <w:sz w:val="15"/>
        </w:rPr>
        <w:t>Project</w:t>
      </w:r>
      <w:r>
        <w:rPr>
          <w:color w:val="231F20"/>
          <w:spacing w:val="-10"/>
          <w:sz w:val="15"/>
        </w:rPr>
        <w:t> </w:t>
      </w:r>
      <w:r>
        <w:rPr>
          <w:color w:val="231F20"/>
          <w:sz w:val="15"/>
        </w:rPr>
        <w:t>on</w:t>
      </w:r>
      <w:r>
        <w:rPr>
          <w:color w:val="231F20"/>
          <w:spacing w:val="-10"/>
          <w:sz w:val="15"/>
        </w:rPr>
        <w:t> </w:t>
      </w:r>
      <w:r>
        <w:rPr>
          <w:color w:val="231F20"/>
          <w:sz w:val="15"/>
        </w:rPr>
        <w:t>Internal</w:t>
      </w:r>
      <w:r>
        <w:rPr>
          <w:color w:val="231F20"/>
          <w:spacing w:val="-10"/>
          <w:sz w:val="15"/>
        </w:rPr>
        <w:t> </w:t>
      </w:r>
      <w:r>
        <w:rPr>
          <w:color w:val="231F20"/>
          <w:sz w:val="15"/>
        </w:rPr>
        <w:t>Displacement:</w:t>
      </w:r>
      <w:r>
        <w:rPr>
          <w:color w:val="231F20"/>
          <w:spacing w:val="-10"/>
          <w:sz w:val="15"/>
        </w:rPr>
        <w:t> </w:t>
      </w:r>
      <w:r>
        <w:rPr>
          <w:color w:val="231F20"/>
          <w:sz w:val="15"/>
        </w:rPr>
        <w:t>Washington,</w:t>
      </w:r>
      <w:r>
        <w:rPr>
          <w:color w:val="231F20"/>
          <w:spacing w:val="-9"/>
          <w:sz w:val="15"/>
        </w:rPr>
        <w:t> </w:t>
      </w:r>
      <w:r>
        <w:rPr>
          <w:color w:val="231F20"/>
          <w:sz w:val="15"/>
        </w:rPr>
        <w:t>DC, 1999); UN OCHA, </w:t>
      </w:r>
      <w:r>
        <w:rPr>
          <w:i/>
          <w:color w:val="231F20"/>
          <w:sz w:val="15"/>
        </w:rPr>
        <w:t>Manual on Field Practice in Internal Displacement</w:t>
      </w:r>
      <w:r>
        <w:rPr>
          <w:color w:val="231F20"/>
          <w:sz w:val="15"/>
        </w:rPr>
        <w:t>, Inter-Agency Standing Com- mittee</w:t>
      </w:r>
      <w:r>
        <w:rPr>
          <w:color w:val="231F20"/>
          <w:spacing w:val="-12"/>
          <w:sz w:val="15"/>
        </w:rPr>
        <w:t> </w:t>
      </w:r>
      <w:r>
        <w:rPr>
          <w:color w:val="231F20"/>
          <w:sz w:val="15"/>
        </w:rPr>
        <w:t>Policy</w:t>
      </w:r>
      <w:r>
        <w:rPr>
          <w:color w:val="231F20"/>
          <w:spacing w:val="-12"/>
          <w:sz w:val="15"/>
        </w:rPr>
        <w:t> </w:t>
      </w:r>
      <w:r>
        <w:rPr>
          <w:color w:val="231F20"/>
          <w:sz w:val="15"/>
        </w:rPr>
        <w:t>Paper</w:t>
      </w:r>
      <w:r>
        <w:rPr>
          <w:color w:val="231F20"/>
          <w:spacing w:val="-12"/>
          <w:sz w:val="15"/>
        </w:rPr>
        <w:t> </w:t>
      </w:r>
      <w:r>
        <w:rPr>
          <w:color w:val="231F20"/>
          <w:sz w:val="15"/>
        </w:rPr>
        <w:t>Series</w:t>
      </w:r>
      <w:r>
        <w:rPr>
          <w:color w:val="231F20"/>
          <w:spacing w:val="-12"/>
          <w:sz w:val="15"/>
        </w:rPr>
        <w:t> </w:t>
      </w:r>
      <w:r>
        <w:rPr>
          <w:color w:val="231F20"/>
          <w:sz w:val="15"/>
        </w:rPr>
        <w:t>no.</w:t>
      </w:r>
      <w:r>
        <w:rPr>
          <w:color w:val="231F20"/>
          <w:spacing w:val="-12"/>
          <w:sz w:val="15"/>
        </w:rPr>
        <w:t> </w:t>
      </w:r>
      <w:r>
        <w:rPr>
          <w:color w:val="231F20"/>
          <w:sz w:val="15"/>
        </w:rPr>
        <w:t>1</w:t>
      </w:r>
      <w:r>
        <w:rPr>
          <w:color w:val="231F20"/>
          <w:spacing w:val="-12"/>
          <w:sz w:val="15"/>
        </w:rPr>
        <w:t> </w:t>
      </w:r>
      <w:r>
        <w:rPr>
          <w:color w:val="231F20"/>
          <w:sz w:val="15"/>
        </w:rPr>
        <w:t>(OCHA</w:t>
      </w:r>
      <w:r>
        <w:rPr>
          <w:color w:val="231F20"/>
          <w:spacing w:val="-12"/>
          <w:sz w:val="15"/>
        </w:rPr>
        <w:t> </w:t>
      </w:r>
      <w:r>
        <w:rPr>
          <w:color w:val="231F20"/>
          <w:sz w:val="15"/>
        </w:rPr>
        <w:t>and</w:t>
      </w:r>
      <w:r>
        <w:rPr>
          <w:color w:val="231F20"/>
          <w:spacing w:val="-12"/>
          <w:sz w:val="15"/>
        </w:rPr>
        <w:t> </w:t>
      </w:r>
      <w:r>
        <w:rPr>
          <w:color w:val="231F20"/>
          <w:sz w:val="15"/>
        </w:rPr>
        <w:t>Brookings</w:t>
      </w:r>
      <w:r>
        <w:rPr>
          <w:color w:val="231F20"/>
          <w:spacing w:val="-12"/>
          <w:sz w:val="15"/>
        </w:rPr>
        <w:t> </w:t>
      </w:r>
      <w:r>
        <w:rPr>
          <w:color w:val="231F20"/>
          <w:sz w:val="15"/>
        </w:rPr>
        <w:t>Institution</w:t>
      </w:r>
      <w:r>
        <w:rPr>
          <w:color w:val="231F20"/>
          <w:spacing w:val="-12"/>
          <w:sz w:val="15"/>
        </w:rPr>
        <w:t> </w:t>
      </w:r>
      <w:r>
        <w:rPr>
          <w:color w:val="231F20"/>
          <w:sz w:val="15"/>
        </w:rPr>
        <w:t>Project</w:t>
      </w:r>
      <w:r>
        <w:rPr>
          <w:color w:val="231F20"/>
          <w:spacing w:val="-12"/>
          <w:sz w:val="15"/>
        </w:rPr>
        <w:t> </w:t>
      </w:r>
      <w:r>
        <w:rPr>
          <w:color w:val="231F20"/>
          <w:sz w:val="15"/>
        </w:rPr>
        <w:t>on</w:t>
      </w:r>
      <w:r>
        <w:rPr>
          <w:color w:val="231F20"/>
          <w:spacing w:val="-12"/>
          <w:sz w:val="15"/>
        </w:rPr>
        <w:t> </w:t>
      </w:r>
      <w:r>
        <w:rPr>
          <w:color w:val="231F20"/>
          <w:sz w:val="15"/>
        </w:rPr>
        <w:t>Internal</w:t>
      </w:r>
      <w:r>
        <w:rPr>
          <w:color w:val="231F20"/>
          <w:spacing w:val="-12"/>
          <w:sz w:val="15"/>
        </w:rPr>
        <w:t> </w:t>
      </w:r>
      <w:r>
        <w:rPr>
          <w:color w:val="231F20"/>
          <w:sz w:val="15"/>
        </w:rPr>
        <w:t>Displacement: Washington, DC, 1999); and UN Inter-Agency Standing Committee (IASC), </w:t>
      </w:r>
      <w:r>
        <w:rPr>
          <w:i/>
          <w:color w:val="231F20"/>
          <w:sz w:val="15"/>
        </w:rPr>
        <w:t>Growing the Sheltering </w:t>
      </w:r>
      <w:r>
        <w:rPr>
          <w:i/>
          <w:color w:val="231F20"/>
          <w:sz w:val="15"/>
        </w:rPr>
        <w:t>Tree: Protecting Rights through Humanitarian Action </w:t>
      </w:r>
      <w:r>
        <w:rPr>
          <w:color w:val="231F20"/>
          <w:sz w:val="15"/>
        </w:rPr>
        <w:t>(IASC: Geneva, 2002). See also the ICRC’s summary of its protection activities over the decades. International Committee of the Red Cross, </w:t>
      </w:r>
      <w:r>
        <w:rPr>
          <w:i/>
          <w:color w:val="231F20"/>
          <w:sz w:val="15"/>
        </w:rPr>
        <w:t>Enhancing Protection for Civilians in Armed Conﬂict and Other Situations of Violence </w:t>
      </w:r>
      <w:r>
        <w:rPr>
          <w:color w:val="231F20"/>
          <w:sz w:val="15"/>
        </w:rPr>
        <w:t>(ICRC: Geneva, Sep.</w:t>
      </w:r>
      <w:r>
        <w:rPr>
          <w:color w:val="231F20"/>
          <w:spacing w:val="-4"/>
          <w:sz w:val="15"/>
        </w:rPr>
        <w:t> </w:t>
      </w:r>
      <w:r>
        <w:rPr>
          <w:color w:val="231F20"/>
          <w:sz w:val="15"/>
        </w:rPr>
        <w:t>2008).</w:t>
      </w:r>
    </w:p>
    <w:p>
      <w:pPr>
        <w:pStyle w:val="ListParagraph"/>
        <w:numPr>
          <w:ilvl w:val="0"/>
          <w:numId w:val="3"/>
        </w:numPr>
        <w:tabs>
          <w:tab w:pos="440" w:val="left" w:leader="none"/>
        </w:tabs>
        <w:spacing w:line="213" w:lineRule="auto" w:before="1" w:after="0"/>
        <w:ind w:left="100" w:right="120" w:firstLine="182"/>
        <w:jc w:val="both"/>
        <w:rPr>
          <w:rFonts w:ascii="Adobe Jenson Pro Lt Capt" w:hAnsi="Adobe Jenson Pro Lt Capt"/>
          <w:color w:val="231F20"/>
          <w:sz w:val="12"/>
        </w:rPr>
      </w:pPr>
      <w:r>
        <w:rPr>
          <w:color w:val="231F20"/>
          <w:sz w:val="15"/>
        </w:rPr>
        <w:t>Bagshaw, S. and Paul, D., </w:t>
      </w:r>
      <w:r>
        <w:rPr>
          <w:i/>
          <w:color w:val="231F20"/>
          <w:sz w:val="15"/>
        </w:rPr>
        <w:t>Protect or Neglect?: Toward a More Effective United Nations Approach </w:t>
      </w:r>
      <w:r>
        <w:rPr>
          <w:i/>
          <w:color w:val="231F20"/>
          <w:sz w:val="15"/>
        </w:rPr>
        <w:t>to the Protection of Internally Displaced Persons </w:t>
      </w:r>
      <w:r>
        <w:rPr>
          <w:color w:val="231F20"/>
          <w:sz w:val="15"/>
        </w:rPr>
        <w:t>(UN Office for the Coordination of Humanitarian Affairs/Brookings–SAIS</w:t>
      </w:r>
      <w:r>
        <w:rPr>
          <w:color w:val="231F20"/>
          <w:spacing w:val="-7"/>
          <w:sz w:val="15"/>
        </w:rPr>
        <w:t> </w:t>
      </w:r>
      <w:r>
        <w:rPr>
          <w:color w:val="231F20"/>
          <w:sz w:val="15"/>
        </w:rPr>
        <w:t>Project</w:t>
      </w:r>
      <w:r>
        <w:rPr>
          <w:color w:val="231F20"/>
          <w:spacing w:val="-6"/>
          <w:sz w:val="15"/>
        </w:rPr>
        <w:t> </w:t>
      </w:r>
      <w:r>
        <w:rPr>
          <w:color w:val="231F20"/>
          <w:sz w:val="15"/>
        </w:rPr>
        <w:t>on</w:t>
      </w:r>
      <w:r>
        <w:rPr>
          <w:color w:val="231F20"/>
          <w:spacing w:val="-7"/>
          <w:sz w:val="15"/>
        </w:rPr>
        <w:t> </w:t>
      </w:r>
      <w:r>
        <w:rPr>
          <w:color w:val="231F20"/>
          <w:sz w:val="15"/>
        </w:rPr>
        <w:t>Internal</w:t>
      </w:r>
      <w:r>
        <w:rPr>
          <w:color w:val="231F20"/>
          <w:spacing w:val="-6"/>
          <w:sz w:val="15"/>
        </w:rPr>
        <w:t> </w:t>
      </w:r>
      <w:r>
        <w:rPr>
          <w:color w:val="231F20"/>
          <w:sz w:val="15"/>
        </w:rPr>
        <w:t>Displacement:</w:t>
      </w:r>
      <w:r>
        <w:rPr>
          <w:color w:val="231F20"/>
          <w:spacing w:val="-6"/>
          <w:sz w:val="15"/>
        </w:rPr>
        <w:t> </w:t>
      </w:r>
      <w:r>
        <w:rPr>
          <w:color w:val="231F20"/>
          <w:sz w:val="15"/>
        </w:rPr>
        <w:t>Geneva,</w:t>
      </w:r>
      <w:r>
        <w:rPr>
          <w:color w:val="231F20"/>
          <w:spacing w:val="-7"/>
          <w:sz w:val="15"/>
        </w:rPr>
        <w:t> </w:t>
      </w:r>
      <w:r>
        <w:rPr>
          <w:color w:val="231F20"/>
          <w:sz w:val="15"/>
        </w:rPr>
        <w:t>Nov.</w:t>
      </w:r>
      <w:r>
        <w:rPr>
          <w:color w:val="231F20"/>
          <w:spacing w:val="-6"/>
          <w:sz w:val="15"/>
        </w:rPr>
        <w:t> </w:t>
      </w:r>
      <w:r>
        <w:rPr>
          <w:color w:val="231F20"/>
          <w:sz w:val="15"/>
        </w:rPr>
        <w:t>2004),</w:t>
      </w:r>
      <w:r>
        <w:rPr>
          <w:color w:val="231F20"/>
          <w:spacing w:val="-7"/>
          <w:sz w:val="15"/>
        </w:rPr>
        <w:t> </w:t>
      </w:r>
      <w:r>
        <w:rPr>
          <w:color w:val="231F20"/>
          <w:sz w:val="15"/>
        </w:rPr>
        <w:t>p.</w:t>
      </w:r>
      <w:r>
        <w:rPr>
          <w:color w:val="231F20"/>
          <w:spacing w:val="-6"/>
          <w:sz w:val="15"/>
        </w:rPr>
        <w:t> </w:t>
      </w:r>
      <w:r>
        <w:rPr>
          <w:color w:val="231F20"/>
          <w:sz w:val="15"/>
        </w:rPr>
        <w:t>3.</w:t>
      </w:r>
    </w:p>
    <w:p>
      <w:pPr>
        <w:pStyle w:val="ListParagraph"/>
        <w:numPr>
          <w:ilvl w:val="0"/>
          <w:numId w:val="3"/>
        </w:numPr>
        <w:tabs>
          <w:tab w:pos="441" w:val="left" w:leader="none"/>
        </w:tabs>
        <w:spacing w:line="213" w:lineRule="auto" w:before="0" w:after="0"/>
        <w:ind w:left="100" w:right="120" w:firstLine="182"/>
        <w:jc w:val="both"/>
        <w:rPr>
          <w:rFonts w:ascii="Adobe Jenson Pro Lt Capt" w:hAnsi="Adobe Jenson Pro Lt Capt"/>
          <w:color w:val="231F20"/>
          <w:sz w:val="12"/>
        </w:rPr>
      </w:pPr>
      <w:r>
        <w:rPr>
          <w:color w:val="231F20"/>
          <w:sz w:val="15"/>
        </w:rPr>
        <w:t>From</w:t>
      </w:r>
      <w:r>
        <w:rPr>
          <w:color w:val="231F20"/>
          <w:spacing w:val="-9"/>
          <w:sz w:val="15"/>
        </w:rPr>
        <w:t> </w:t>
      </w:r>
      <w:r>
        <w:rPr>
          <w:color w:val="231F20"/>
          <w:sz w:val="15"/>
        </w:rPr>
        <w:t>1</w:t>
      </w:r>
      <w:r>
        <w:rPr>
          <w:color w:val="231F20"/>
          <w:spacing w:val="-9"/>
          <w:sz w:val="15"/>
        </w:rPr>
        <w:t> </w:t>
      </w:r>
      <w:r>
        <w:rPr>
          <w:color w:val="231F20"/>
          <w:sz w:val="15"/>
        </w:rPr>
        <w:t>July</w:t>
      </w:r>
      <w:r>
        <w:rPr>
          <w:color w:val="231F20"/>
          <w:spacing w:val="-9"/>
          <w:sz w:val="15"/>
        </w:rPr>
        <w:t> </w:t>
      </w:r>
      <w:r>
        <w:rPr>
          <w:color w:val="231F20"/>
          <w:sz w:val="15"/>
        </w:rPr>
        <w:t>2007</w:t>
      </w:r>
      <w:r>
        <w:rPr>
          <w:color w:val="231F20"/>
          <w:spacing w:val="-9"/>
          <w:sz w:val="15"/>
        </w:rPr>
        <w:t> </w:t>
      </w:r>
      <w:r>
        <w:rPr>
          <w:color w:val="231F20"/>
          <w:sz w:val="15"/>
        </w:rPr>
        <w:t>to</w:t>
      </w:r>
      <w:r>
        <w:rPr>
          <w:color w:val="231F20"/>
          <w:spacing w:val="-9"/>
          <w:sz w:val="15"/>
        </w:rPr>
        <w:t> </w:t>
      </w:r>
      <w:r>
        <w:rPr>
          <w:color w:val="231F20"/>
          <w:sz w:val="15"/>
        </w:rPr>
        <w:t>30</w:t>
      </w:r>
      <w:r>
        <w:rPr>
          <w:color w:val="231F20"/>
          <w:spacing w:val="-9"/>
          <w:sz w:val="15"/>
        </w:rPr>
        <w:t> </w:t>
      </w:r>
      <w:r>
        <w:rPr>
          <w:color w:val="231F20"/>
          <w:sz w:val="15"/>
        </w:rPr>
        <w:t>June</w:t>
      </w:r>
      <w:r>
        <w:rPr>
          <w:color w:val="231F20"/>
          <w:spacing w:val="-9"/>
          <w:sz w:val="15"/>
        </w:rPr>
        <w:t> </w:t>
      </w:r>
      <w:r>
        <w:rPr>
          <w:color w:val="231F20"/>
          <w:sz w:val="15"/>
        </w:rPr>
        <w:t>2008,</w:t>
      </w:r>
      <w:r>
        <w:rPr>
          <w:color w:val="231F20"/>
          <w:spacing w:val="-9"/>
          <w:sz w:val="15"/>
        </w:rPr>
        <w:t> </w:t>
      </w:r>
      <w:r>
        <w:rPr>
          <w:color w:val="231F20"/>
          <w:sz w:val="15"/>
        </w:rPr>
        <w:t>25</w:t>
      </w:r>
      <w:r>
        <w:rPr>
          <w:color w:val="231F20"/>
          <w:spacing w:val="-9"/>
          <w:sz w:val="15"/>
        </w:rPr>
        <w:t> </w:t>
      </w:r>
      <w:r>
        <w:rPr>
          <w:color w:val="231F20"/>
          <w:sz w:val="15"/>
        </w:rPr>
        <w:t>UN</w:t>
      </w:r>
      <w:r>
        <w:rPr>
          <w:color w:val="231F20"/>
          <w:spacing w:val="-9"/>
          <w:sz w:val="15"/>
        </w:rPr>
        <w:t> </w:t>
      </w:r>
      <w:r>
        <w:rPr>
          <w:color w:val="231F20"/>
          <w:sz w:val="15"/>
        </w:rPr>
        <w:t>civilian</w:t>
      </w:r>
      <w:r>
        <w:rPr>
          <w:color w:val="231F20"/>
          <w:spacing w:val="-9"/>
          <w:sz w:val="15"/>
        </w:rPr>
        <w:t> </w:t>
      </w:r>
      <w:r>
        <w:rPr>
          <w:color w:val="231F20"/>
          <w:sz w:val="15"/>
        </w:rPr>
        <w:t>staff</w:t>
      </w:r>
      <w:r>
        <w:rPr>
          <w:color w:val="231F20"/>
          <w:spacing w:val="-9"/>
          <w:sz w:val="15"/>
        </w:rPr>
        <w:t> </w:t>
      </w:r>
      <w:r>
        <w:rPr>
          <w:color w:val="231F20"/>
          <w:sz w:val="15"/>
        </w:rPr>
        <w:t>were</w:t>
      </w:r>
      <w:r>
        <w:rPr>
          <w:color w:val="231F20"/>
          <w:spacing w:val="-9"/>
          <w:sz w:val="15"/>
        </w:rPr>
        <w:t> </w:t>
      </w:r>
      <w:r>
        <w:rPr>
          <w:color w:val="231F20"/>
          <w:sz w:val="15"/>
        </w:rPr>
        <w:t>killed</w:t>
      </w:r>
      <w:r>
        <w:rPr>
          <w:color w:val="231F20"/>
          <w:spacing w:val="-9"/>
          <w:sz w:val="15"/>
        </w:rPr>
        <w:t> </w:t>
      </w:r>
      <w:r>
        <w:rPr>
          <w:color w:val="231F20"/>
          <w:sz w:val="15"/>
        </w:rPr>
        <w:t>by</w:t>
      </w:r>
      <w:r>
        <w:rPr>
          <w:color w:val="231F20"/>
          <w:spacing w:val="-9"/>
          <w:sz w:val="15"/>
        </w:rPr>
        <w:t> </w:t>
      </w:r>
      <w:r>
        <w:rPr>
          <w:color w:val="231F20"/>
          <w:sz w:val="15"/>
        </w:rPr>
        <w:t>‘malicious</w:t>
      </w:r>
      <w:r>
        <w:rPr>
          <w:color w:val="231F20"/>
          <w:spacing w:val="-9"/>
          <w:sz w:val="15"/>
        </w:rPr>
        <w:t> </w:t>
      </w:r>
      <w:r>
        <w:rPr>
          <w:color w:val="231F20"/>
          <w:sz w:val="15"/>
        </w:rPr>
        <w:t>acts’</w:t>
      </w:r>
      <w:r>
        <w:rPr>
          <w:color w:val="231F20"/>
          <w:spacing w:val="-9"/>
          <w:sz w:val="15"/>
        </w:rPr>
        <w:t> </w:t>
      </w:r>
      <w:r>
        <w:rPr>
          <w:color w:val="231F20"/>
          <w:sz w:val="15"/>
        </w:rPr>
        <w:t>(including 21 locally recruited personnel); 63 NGO staff were also killed; and there were 490 attacks on UN personnel</w:t>
      </w:r>
      <w:r>
        <w:rPr>
          <w:color w:val="231F20"/>
          <w:spacing w:val="-11"/>
          <w:sz w:val="15"/>
        </w:rPr>
        <w:t> </w:t>
      </w:r>
      <w:r>
        <w:rPr>
          <w:color w:val="231F20"/>
          <w:sz w:val="15"/>
        </w:rPr>
        <w:t>(e.g.</w:t>
      </w:r>
      <w:r>
        <w:rPr>
          <w:color w:val="231F20"/>
          <w:spacing w:val="-10"/>
          <w:sz w:val="15"/>
        </w:rPr>
        <w:t> </w:t>
      </w:r>
      <w:r>
        <w:rPr>
          <w:color w:val="231F20"/>
          <w:sz w:val="15"/>
        </w:rPr>
        <w:t>physical</w:t>
      </w:r>
      <w:r>
        <w:rPr>
          <w:color w:val="231F20"/>
          <w:spacing w:val="-10"/>
          <w:sz w:val="15"/>
        </w:rPr>
        <w:t> </w:t>
      </w:r>
      <w:r>
        <w:rPr>
          <w:color w:val="231F20"/>
          <w:sz w:val="15"/>
        </w:rPr>
        <w:t>assaults,</w:t>
      </w:r>
      <w:r>
        <w:rPr>
          <w:color w:val="231F20"/>
          <w:spacing w:val="-10"/>
          <w:sz w:val="15"/>
        </w:rPr>
        <w:t> </w:t>
      </w:r>
      <w:r>
        <w:rPr>
          <w:color w:val="231F20"/>
          <w:sz w:val="15"/>
        </w:rPr>
        <w:t>robberies,</w:t>
      </w:r>
      <w:r>
        <w:rPr>
          <w:color w:val="231F20"/>
          <w:spacing w:val="-10"/>
          <w:sz w:val="15"/>
        </w:rPr>
        <w:t> </w:t>
      </w:r>
      <w:r>
        <w:rPr>
          <w:color w:val="231F20"/>
          <w:sz w:val="15"/>
        </w:rPr>
        <w:t>harassment</w:t>
      </w:r>
      <w:r>
        <w:rPr>
          <w:color w:val="231F20"/>
          <w:spacing w:val="-10"/>
          <w:sz w:val="15"/>
        </w:rPr>
        <w:t> </w:t>
      </w:r>
      <w:r>
        <w:rPr>
          <w:color w:val="231F20"/>
          <w:sz w:val="15"/>
        </w:rPr>
        <w:t>and</w:t>
      </w:r>
      <w:r>
        <w:rPr>
          <w:color w:val="231F20"/>
          <w:spacing w:val="-10"/>
          <w:sz w:val="15"/>
        </w:rPr>
        <w:t> </w:t>
      </w:r>
      <w:r>
        <w:rPr>
          <w:color w:val="231F20"/>
          <w:sz w:val="15"/>
        </w:rPr>
        <w:t>intimidation,</w:t>
      </w:r>
      <w:r>
        <w:rPr>
          <w:color w:val="231F20"/>
          <w:spacing w:val="-11"/>
          <w:sz w:val="15"/>
        </w:rPr>
        <w:t> </w:t>
      </w:r>
      <w:r>
        <w:rPr>
          <w:color w:val="231F20"/>
          <w:sz w:val="15"/>
        </w:rPr>
        <w:t>hijackings,</w:t>
      </w:r>
      <w:r>
        <w:rPr>
          <w:color w:val="231F20"/>
          <w:spacing w:val="-10"/>
          <w:sz w:val="15"/>
        </w:rPr>
        <w:t> </w:t>
      </w:r>
      <w:r>
        <w:rPr>
          <w:color w:val="231F20"/>
          <w:sz w:val="15"/>
        </w:rPr>
        <w:t>and</w:t>
      </w:r>
      <w:r>
        <w:rPr>
          <w:color w:val="231F20"/>
          <w:spacing w:val="-10"/>
          <w:sz w:val="15"/>
        </w:rPr>
        <w:t> </w:t>
      </w:r>
      <w:r>
        <w:rPr>
          <w:color w:val="231F20"/>
          <w:sz w:val="15"/>
        </w:rPr>
        <w:t>detention by non-state actors). In Sudan alone, there were 297 incidents against UN personnel. UN General Assembly,</w:t>
      </w:r>
      <w:r>
        <w:rPr>
          <w:color w:val="231F20"/>
          <w:spacing w:val="-15"/>
          <w:sz w:val="15"/>
        </w:rPr>
        <w:t> </w:t>
      </w:r>
      <w:r>
        <w:rPr>
          <w:color w:val="231F20"/>
          <w:sz w:val="15"/>
        </w:rPr>
        <w:t>‘Safety</w:t>
      </w:r>
      <w:r>
        <w:rPr>
          <w:color w:val="231F20"/>
          <w:spacing w:val="-14"/>
          <w:sz w:val="15"/>
        </w:rPr>
        <w:t> </w:t>
      </w:r>
      <w:r>
        <w:rPr>
          <w:color w:val="231F20"/>
          <w:sz w:val="15"/>
        </w:rPr>
        <w:t>and</w:t>
      </w:r>
      <w:r>
        <w:rPr>
          <w:color w:val="231F20"/>
          <w:spacing w:val="-14"/>
          <w:sz w:val="15"/>
        </w:rPr>
        <w:t> </w:t>
      </w:r>
      <w:r>
        <w:rPr>
          <w:color w:val="231F20"/>
          <w:sz w:val="15"/>
        </w:rPr>
        <w:t>security</w:t>
      </w:r>
      <w:r>
        <w:rPr>
          <w:color w:val="231F20"/>
          <w:spacing w:val="-14"/>
          <w:sz w:val="15"/>
        </w:rPr>
        <w:t> </w:t>
      </w:r>
      <w:r>
        <w:rPr>
          <w:color w:val="231F20"/>
          <w:sz w:val="15"/>
        </w:rPr>
        <w:t>of</w:t>
      </w:r>
      <w:r>
        <w:rPr>
          <w:color w:val="231F20"/>
          <w:spacing w:val="-15"/>
          <w:sz w:val="15"/>
        </w:rPr>
        <w:t> </w:t>
      </w:r>
      <w:r>
        <w:rPr>
          <w:color w:val="231F20"/>
          <w:sz w:val="15"/>
        </w:rPr>
        <w:t>humanitarian</w:t>
      </w:r>
      <w:r>
        <w:rPr>
          <w:color w:val="231F20"/>
          <w:spacing w:val="-14"/>
          <w:sz w:val="15"/>
        </w:rPr>
        <w:t> </w:t>
      </w:r>
      <w:r>
        <w:rPr>
          <w:color w:val="231F20"/>
          <w:sz w:val="15"/>
        </w:rPr>
        <w:t>personnel</w:t>
      </w:r>
      <w:r>
        <w:rPr>
          <w:color w:val="231F20"/>
          <w:spacing w:val="-14"/>
          <w:sz w:val="15"/>
        </w:rPr>
        <w:t> </w:t>
      </w:r>
      <w:r>
        <w:rPr>
          <w:color w:val="231F20"/>
          <w:sz w:val="15"/>
        </w:rPr>
        <w:t>and</w:t>
      </w:r>
      <w:r>
        <w:rPr>
          <w:color w:val="231F20"/>
          <w:spacing w:val="-14"/>
          <w:sz w:val="15"/>
        </w:rPr>
        <w:t> </w:t>
      </w:r>
      <w:r>
        <w:rPr>
          <w:color w:val="231F20"/>
          <w:sz w:val="15"/>
        </w:rPr>
        <w:t>protection</w:t>
      </w:r>
      <w:r>
        <w:rPr>
          <w:color w:val="231F20"/>
          <w:spacing w:val="-15"/>
          <w:sz w:val="15"/>
        </w:rPr>
        <w:t> </w:t>
      </w:r>
      <w:r>
        <w:rPr>
          <w:color w:val="231F20"/>
          <w:sz w:val="15"/>
        </w:rPr>
        <w:t>of</w:t>
      </w:r>
      <w:r>
        <w:rPr>
          <w:color w:val="231F20"/>
          <w:spacing w:val="-14"/>
          <w:sz w:val="15"/>
        </w:rPr>
        <w:t> </w:t>
      </w:r>
      <w:r>
        <w:rPr>
          <w:color w:val="231F20"/>
          <w:sz w:val="15"/>
        </w:rPr>
        <w:t>United</w:t>
      </w:r>
      <w:r>
        <w:rPr>
          <w:color w:val="231F20"/>
          <w:spacing w:val="-14"/>
          <w:sz w:val="15"/>
        </w:rPr>
        <w:t> </w:t>
      </w:r>
      <w:r>
        <w:rPr>
          <w:color w:val="231F20"/>
          <w:sz w:val="15"/>
        </w:rPr>
        <w:t>Nations</w:t>
      </w:r>
      <w:r>
        <w:rPr>
          <w:color w:val="231F20"/>
          <w:spacing w:val="-14"/>
          <w:sz w:val="15"/>
        </w:rPr>
        <w:t> </w:t>
      </w:r>
      <w:r>
        <w:rPr>
          <w:color w:val="231F20"/>
          <w:sz w:val="15"/>
        </w:rPr>
        <w:t>person- nel’,</w:t>
      </w:r>
      <w:r>
        <w:rPr>
          <w:color w:val="231F20"/>
          <w:spacing w:val="-8"/>
          <w:sz w:val="15"/>
        </w:rPr>
        <w:t> </w:t>
      </w:r>
      <w:r>
        <w:rPr>
          <w:color w:val="231F20"/>
          <w:sz w:val="15"/>
        </w:rPr>
        <w:t>Report</w:t>
      </w:r>
      <w:r>
        <w:rPr>
          <w:color w:val="231F20"/>
          <w:spacing w:val="-7"/>
          <w:sz w:val="15"/>
        </w:rPr>
        <w:t> </w:t>
      </w:r>
      <w:r>
        <w:rPr>
          <w:color w:val="231F20"/>
          <w:sz w:val="15"/>
        </w:rPr>
        <w:t>of</w:t>
      </w:r>
      <w:r>
        <w:rPr>
          <w:color w:val="231F20"/>
          <w:spacing w:val="-7"/>
          <w:sz w:val="15"/>
        </w:rPr>
        <w:t> </w:t>
      </w:r>
      <w:r>
        <w:rPr>
          <w:color w:val="231F20"/>
          <w:sz w:val="15"/>
        </w:rPr>
        <w:t>the</w:t>
      </w:r>
      <w:r>
        <w:rPr>
          <w:color w:val="231F20"/>
          <w:spacing w:val="-8"/>
          <w:sz w:val="15"/>
        </w:rPr>
        <w:t> </w:t>
      </w:r>
      <w:r>
        <w:rPr>
          <w:color w:val="231F20"/>
          <w:sz w:val="15"/>
        </w:rPr>
        <w:t>United</w:t>
      </w:r>
      <w:r>
        <w:rPr>
          <w:color w:val="231F20"/>
          <w:spacing w:val="-7"/>
          <w:sz w:val="15"/>
        </w:rPr>
        <w:t> </w:t>
      </w:r>
      <w:r>
        <w:rPr>
          <w:color w:val="231F20"/>
          <w:sz w:val="15"/>
        </w:rPr>
        <w:t>Nations</w:t>
      </w:r>
      <w:r>
        <w:rPr>
          <w:color w:val="231F20"/>
          <w:spacing w:val="-7"/>
          <w:sz w:val="15"/>
        </w:rPr>
        <w:t> </w:t>
      </w:r>
      <w:r>
        <w:rPr>
          <w:color w:val="231F20"/>
          <w:sz w:val="15"/>
        </w:rPr>
        <w:t>Secretary-General,</w:t>
      </w:r>
      <w:r>
        <w:rPr>
          <w:color w:val="231F20"/>
          <w:spacing w:val="-7"/>
          <w:sz w:val="15"/>
        </w:rPr>
        <w:t> </w:t>
      </w:r>
      <w:r>
        <w:rPr>
          <w:color w:val="231F20"/>
          <w:sz w:val="15"/>
        </w:rPr>
        <w:t>A/63/305,</w:t>
      </w:r>
      <w:r>
        <w:rPr>
          <w:color w:val="231F20"/>
          <w:spacing w:val="-8"/>
          <w:sz w:val="15"/>
        </w:rPr>
        <w:t> </w:t>
      </w:r>
      <w:r>
        <w:rPr>
          <w:color w:val="231F20"/>
          <w:sz w:val="15"/>
        </w:rPr>
        <w:t>18</w:t>
      </w:r>
      <w:r>
        <w:rPr>
          <w:color w:val="231F20"/>
          <w:spacing w:val="-7"/>
          <w:sz w:val="15"/>
        </w:rPr>
        <w:t> </w:t>
      </w:r>
      <w:r>
        <w:rPr>
          <w:color w:val="231F20"/>
          <w:sz w:val="15"/>
        </w:rPr>
        <w:t>Aug.</w:t>
      </w:r>
      <w:r>
        <w:rPr>
          <w:color w:val="231F20"/>
          <w:spacing w:val="-7"/>
          <w:sz w:val="15"/>
        </w:rPr>
        <w:t> </w:t>
      </w:r>
      <w:r>
        <w:rPr>
          <w:color w:val="231F20"/>
          <w:sz w:val="15"/>
        </w:rPr>
        <w:t>2008,</w:t>
      </w:r>
      <w:r>
        <w:rPr>
          <w:color w:val="231F20"/>
          <w:spacing w:val="-7"/>
          <w:sz w:val="15"/>
        </w:rPr>
        <w:t> </w:t>
      </w:r>
      <w:r>
        <w:rPr>
          <w:color w:val="231F20"/>
          <w:sz w:val="15"/>
        </w:rPr>
        <w:t>paras</w:t>
      </w:r>
      <w:r>
        <w:rPr>
          <w:color w:val="231F20"/>
          <w:spacing w:val="-8"/>
          <w:sz w:val="15"/>
        </w:rPr>
        <w:t> </w:t>
      </w:r>
      <w:r>
        <w:rPr>
          <w:color w:val="231F20"/>
          <w:sz w:val="15"/>
        </w:rPr>
        <w:t>6–18.</w:t>
      </w:r>
    </w:p>
    <w:p>
      <w:pPr>
        <w:pStyle w:val="ListParagraph"/>
        <w:numPr>
          <w:ilvl w:val="0"/>
          <w:numId w:val="3"/>
        </w:numPr>
        <w:tabs>
          <w:tab w:pos="440" w:val="left" w:leader="none"/>
        </w:tabs>
        <w:spacing w:line="216" w:lineRule="auto" w:before="0" w:after="0"/>
        <w:ind w:left="100" w:right="120" w:firstLine="182"/>
        <w:jc w:val="both"/>
        <w:rPr>
          <w:rFonts w:ascii="Adobe Jenson Pro Lt Capt" w:hAnsi="Adobe Jenson Pro Lt Capt"/>
          <w:color w:val="231F20"/>
          <w:sz w:val="12"/>
        </w:rPr>
      </w:pPr>
      <w:r>
        <w:rPr>
          <w:color w:val="231F20"/>
          <w:sz w:val="15"/>
        </w:rPr>
        <w:t>Under</w:t>
      </w:r>
      <w:r>
        <w:rPr>
          <w:color w:val="231F20"/>
          <w:spacing w:val="-13"/>
          <w:sz w:val="15"/>
        </w:rPr>
        <w:t> </w:t>
      </w:r>
      <w:r>
        <w:rPr>
          <w:color w:val="231F20"/>
          <w:sz w:val="15"/>
        </w:rPr>
        <w:t>the</w:t>
      </w:r>
      <w:r>
        <w:rPr>
          <w:color w:val="231F20"/>
          <w:spacing w:val="-13"/>
          <w:sz w:val="15"/>
        </w:rPr>
        <w:t> </w:t>
      </w:r>
      <w:r>
        <w:rPr>
          <w:color w:val="231F20"/>
          <w:sz w:val="15"/>
        </w:rPr>
        <w:t>UN’s</w:t>
      </w:r>
      <w:r>
        <w:rPr>
          <w:color w:val="231F20"/>
          <w:spacing w:val="-13"/>
          <w:sz w:val="15"/>
        </w:rPr>
        <w:t> </w:t>
      </w:r>
      <w:r>
        <w:rPr>
          <w:color w:val="231F20"/>
          <w:sz w:val="15"/>
        </w:rPr>
        <w:t>2005</w:t>
      </w:r>
      <w:r>
        <w:rPr>
          <w:color w:val="231F20"/>
          <w:spacing w:val="-13"/>
          <w:sz w:val="15"/>
        </w:rPr>
        <w:t> </w:t>
      </w:r>
      <w:r>
        <w:rPr>
          <w:color w:val="231F20"/>
          <w:sz w:val="15"/>
        </w:rPr>
        <w:t>humanitarian</w:t>
      </w:r>
      <w:r>
        <w:rPr>
          <w:color w:val="231F20"/>
          <w:spacing w:val="-13"/>
          <w:sz w:val="15"/>
        </w:rPr>
        <w:t> </w:t>
      </w:r>
      <w:r>
        <w:rPr>
          <w:color w:val="231F20"/>
          <w:sz w:val="15"/>
        </w:rPr>
        <w:t>reform</w:t>
      </w:r>
      <w:r>
        <w:rPr>
          <w:color w:val="231F20"/>
          <w:spacing w:val="-13"/>
          <w:sz w:val="15"/>
        </w:rPr>
        <w:t> </w:t>
      </w:r>
      <w:r>
        <w:rPr>
          <w:color w:val="231F20"/>
          <w:sz w:val="15"/>
        </w:rPr>
        <w:t>programme</w:t>
      </w:r>
      <w:r>
        <w:rPr>
          <w:color w:val="231F20"/>
          <w:spacing w:val="-13"/>
          <w:sz w:val="15"/>
        </w:rPr>
        <w:t> </w:t>
      </w:r>
      <w:r>
        <w:rPr>
          <w:color w:val="231F20"/>
          <w:sz w:val="15"/>
        </w:rPr>
        <w:t>the</w:t>
      </w:r>
      <w:r>
        <w:rPr>
          <w:color w:val="231F20"/>
          <w:spacing w:val="-13"/>
          <w:sz w:val="15"/>
        </w:rPr>
        <w:t> </w:t>
      </w:r>
      <w:r>
        <w:rPr>
          <w:color w:val="231F20"/>
          <w:sz w:val="15"/>
        </w:rPr>
        <w:t>UNHCR</w:t>
      </w:r>
      <w:r>
        <w:rPr>
          <w:color w:val="231F20"/>
          <w:spacing w:val="-12"/>
          <w:sz w:val="15"/>
        </w:rPr>
        <w:t> </w:t>
      </w:r>
      <w:r>
        <w:rPr>
          <w:color w:val="231F20"/>
          <w:sz w:val="15"/>
        </w:rPr>
        <w:t>was</w:t>
      </w:r>
      <w:r>
        <w:rPr>
          <w:color w:val="231F20"/>
          <w:spacing w:val="-13"/>
          <w:sz w:val="15"/>
        </w:rPr>
        <w:t> </w:t>
      </w:r>
      <w:r>
        <w:rPr>
          <w:color w:val="231F20"/>
          <w:sz w:val="15"/>
        </w:rPr>
        <w:t>assigned</w:t>
      </w:r>
      <w:r>
        <w:rPr>
          <w:color w:val="231F20"/>
          <w:spacing w:val="-13"/>
          <w:sz w:val="15"/>
        </w:rPr>
        <w:t> </w:t>
      </w:r>
      <w:r>
        <w:rPr>
          <w:color w:val="231F20"/>
          <w:sz w:val="15"/>
        </w:rPr>
        <w:t>the</w:t>
      </w:r>
      <w:r>
        <w:rPr>
          <w:color w:val="231F20"/>
          <w:spacing w:val="-13"/>
          <w:sz w:val="15"/>
        </w:rPr>
        <w:t> </w:t>
      </w:r>
      <w:r>
        <w:rPr>
          <w:color w:val="231F20"/>
          <w:sz w:val="15"/>
        </w:rPr>
        <w:t>lead</w:t>
      </w:r>
      <w:r>
        <w:rPr>
          <w:color w:val="231F20"/>
          <w:spacing w:val="-13"/>
          <w:sz w:val="15"/>
        </w:rPr>
        <w:t> </w:t>
      </w:r>
      <w:r>
        <w:rPr>
          <w:color w:val="231F20"/>
          <w:sz w:val="15"/>
        </w:rPr>
        <w:t>role in</w:t>
      </w:r>
      <w:r>
        <w:rPr>
          <w:color w:val="231F20"/>
          <w:spacing w:val="-3"/>
          <w:sz w:val="15"/>
        </w:rPr>
        <w:t> </w:t>
      </w:r>
      <w:r>
        <w:rPr>
          <w:color w:val="231F20"/>
          <w:sz w:val="15"/>
        </w:rPr>
        <w:t>coordinating</w:t>
      </w:r>
      <w:r>
        <w:rPr>
          <w:color w:val="231F20"/>
          <w:spacing w:val="-3"/>
          <w:sz w:val="15"/>
        </w:rPr>
        <w:t> </w:t>
      </w:r>
      <w:r>
        <w:rPr>
          <w:color w:val="231F20"/>
          <w:sz w:val="15"/>
        </w:rPr>
        <w:t>protection,</w:t>
      </w:r>
      <w:r>
        <w:rPr>
          <w:color w:val="231F20"/>
          <w:spacing w:val="-3"/>
          <w:sz w:val="15"/>
        </w:rPr>
        <w:t> </w:t>
      </w:r>
      <w:r>
        <w:rPr>
          <w:color w:val="231F20"/>
          <w:sz w:val="15"/>
        </w:rPr>
        <w:t>emergency</w:t>
      </w:r>
      <w:r>
        <w:rPr>
          <w:color w:val="231F20"/>
          <w:spacing w:val="-3"/>
          <w:sz w:val="15"/>
        </w:rPr>
        <w:t> </w:t>
      </w:r>
      <w:r>
        <w:rPr>
          <w:color w:val="231F20"/>
          <w:sz w:val="15"/>
        </w:rPr>
        <w:t>shelter</w:t>
      </w:r>
      <w:r>
        <w:rPr>
          <w:color w:val="231F20"/>
          <w:spacing w:val="-3"/>
          <w:sz w:val="15"/>
        </w:rPr>
        <w:t> </w:t>
      </w:r>
      <w:r>
        <w:rPr>
          <w:color w:val="231F20"/>
          <w:sz w:val="15"/>
        </w:rPr>
        <w:t>and</w:t>
      </w:r>
      <w:r>
        <w:rPr>
          <w:color w:val="231F20"/>
          <w:spacing w:val="-3"/>
          <w:sz w:val="15"/>
        </w:rPr>
        <w:t> </w:t>
      </w:r>
      <w:r>
        <w:rPr>
          <w:color w:val="231F20"/>
          <w:sz w:val="15"/>
        </w:rPr>
        <w:t>camp</w:t>
      </w:r>
      <w:r>
        <w:rPr>
          <w:color w:val="231F20"/>
          <w:spacing w:val="-3"/>
          <w:sz w:val="15"/>
        </w:rPr>
        <w:t> </w:t>
      </w:r>
      <w:r>
        <w:rPr>
          <w:color w:val="231F20"/>
          <w:sz w:val="15"/>
        </w:rPr>
        <w:t>management</w:t>
      </w:r>
      <w:r>
        <w:rPr>
          <w:color w:val="231F20"/>
          <w:spacing w:val="-3"/>
          <w:sz w:val="15"/>
        </w:rPr>
        <w:t> </w:t>
      </w:r>
      <w:r>
        <w:rPr>
          <w:color w:val="231F20"/>
          <w:sz w:val="15"/>
        </w:rPr>
        <w:t>in</w:t>
      </w:r>
      <w:r>
        <w:rPr>
          <w:color w:val="231F20"/>
          <w:spacing w:val="-3"/>
          <w:sz w:val="15"/>
        </w:rPr>
        <w:t> </w:t>
      </w:r>
      <w:r>
        <w:rPr>
          <w:color w:val="231F20"/>
          <w:sz w:val="15"/>
        </w:rPr>
        <w:t>emergencies,</w:t>
      </w:r>
      <w:r>
        <w:rPr>
          <w:color w:val="231F20"/>
          <w:spacing w:val="-3"/>
          <w:sz w:val="15"/>
        </w:rPr>
        <w:t> </w:t>
      </w:r>
      <w:r>
        <w:rPr>
          <w:color w:val="231F20"/>
          <w:sz w:val="15"/>
        </w:rPr>
        <w:t>while</w:t>
      </w:r>
      <w:r>
        <w:rPr>
          <w:color w:val="231F20"/>
          <w:spacing w:val="-3"/>
          <w:sz w:val="15"/>
        </w:rPr>
        <w:t> </w:t>
      </w:r>
      <w:r>
        <w:rPr>
          <w:color w:val="231F20"/>
          <w:sz w:val="15"/>
        </w:rPr>
        <w:t>other</w:t>
      </w:r>
    </w:p>
    <w:p>
      <w:pPr>
        <w:spacing w:after="0" w:line="216" w:lineRule="auto"/>
        <w:jc w:val="both"/>
        <w:rPr>
          <w:rFonts w:ascii="Adobe Jenson Pro Lt Capt" w:hAnsi="Adobe Jenson Pro Lt Capt"/>
          <w:sz w:val="12"/>
        </w:rPr>
        <w:sectPr>
          <w:pgSz w:w="8850" w:h="13270"/>
          <w:pgMar w:header="793" w:footer="0" w:top="1080" w:bottom="280" w:left="1080" w:right="1060"/>
        </w:sectPr>
      </w:pPr>
    </w:p>
    <w:p>
      <w:pPr>
        <w:pStyle w:val="BodyText"/>
        <w:spacing w:line="278" w:lineRule="auto" w:before="141"/>
        <w:ind w:left="101" w:right="117"/>
        <w:rPr>
          <w:rFonts w:ascii="Adobe Jenson Pro Lt Capt"/>
          <w:b w:val="0"/>
          <w:sz w:val="12"/>
        </w:rPr>
      </w:pPr>
      <w:r>
        <w:rPr>
          <w:color w:val="231F20"/>
        </w:rPr>
        <w:t>long experience with refugee protection and its involvement in IDP emer- gencies made it the most appropriate choice. However, the UNHCR faces resource and mandate constraints which have interfered with its ability to assume a robust leading role on IDP  protection  worldwide.  Fearing  that too much attention to IDP protection would detract from refugee pro-  tection and also undermine the right to asylum, the UNHCR has imple- mented its lead role to date in only a small number of pilot countries.</w:t>
      </w:r>
      <w:r>
        <w:rPr>
          <w:rFonts w:ascii="Adobe Jenson Pro Lt Capt"/>
          <w:b w:val="0"/>
          <w:color w:val="231F20"/>
          <w:position w:val="6"/>
          <w:sz w:val="12"/>
        </w:rPr>
        <w:t>60 </w:t>
      </w:r>
      <w:r>
        <w:rPr>
          <w:color w:val="231F20"/>
        </w:rPr>
        <w:t>On the plus side, evaluations in some of these countries have shown an improvement in coordination when it comes to protection, but the extent     to which protection of IDPs on the ground has actually increased has not been effectively</w:t>
      </w:r>
      <w:r>
        <w:rPr>
          <w:color w:val="231F20"/>
          <w:spacing w:val="-1"/>
        </w:rPr>
        <w:t> </w:t>
      </w:r>
      <w:r>
        <w:rPr>
          <w:color w:val="231F20"/>
        </w:rPr>
        <w:t>measured.</w:t>
      </w:r>
      <w:r>
        <w:rPr>
          <w:rFonts w:ascii="Adobe Jenson Pro Lt Capt"/>
          <w:b w:val="0"/>
          <w:color w:val="231F20"/>
          <w:position w:val="6"/>
          <w:sz w:val="12"/>
        </w:rPr>
        <w:t>61</w:t>
      </w:r>
    </w:p>
    <w:p>
      <w:pPr>
        <w:pStyle w:val="BodyText"/>
        <w:spacing w:line="278" w:lineRule="auto"/>
        <w:ind w:right="119" w:firstLine="180"/>
        <w:rPr>
          <w:rFonts w:ascii="Adobe Jenson Pro Lt Capt" w:hAnsi="Adobe Jenson Pro Lt Capt"/>
          <w:b w:val="0"/>
          <w:sz w:val="12"/>
        </w:rPr>
      </w:pPr>
      <w:r>
        <w:rPr>
          <w:color w:val="231F20"/>
        </w:rPr>
        <w:t>The UNHCR has developed IDP policies and needed tools like the IDP Protection Handbook but it has not yet built up adequate in-house capacity to provide IDP protection in the ﬁeld. Instead it relies on the external pro- tection officers provided by ProCap—a UN and non-governmental organ- ization (NGO) initiative—or on its own refugee  protection  officers,  who  may be needed elsewhere.</w:t>
      </w:r>
      <w:r>
        <w:rPr>
          <w:rFonts w:ascii="Adobe Jenson Pro Lt Capt" w:hAnsi="Adobe Jenson Pro Lt Capt"/>
          <w:b w:val="0"/>
          <w:color w:val="231F20"/>
          <w:position w:val="6"/>
          <w:sz w:val="12"/>
        </w:rPr>
        <w:t>62 </w:t>
      </w:r>
      <w:r>
        <w:rPr>
          <w:color w:val="231F20"/>
        </w:rPr>
        <w:t>Nor has the UNHCR created a set of dedicated senior IDP focal points at headquarters, in particular in the Division of International Protection, to oversee the ‘mainstreaming’ of the issue into overall organizational operations.</w:t>
      </w:r>
      <w:r>
        <w:rPr>
          <w:rFonts w:ascii="Adobe Jenson Pro Lt Capt" w:hAnsi="Adobe Jenson Pro Lt Capt"/>
          <w:b w:val="0"/>
          <w:color w:val="231F20"/>
          <w:position w:val="6"/>
          <w:sz w:val="12"/>
        </w:rPr>
        <w:t>63 </w:t>
      </w:r>
      <w:r>
        <w:rPr>
          <w:color w:val="231F20"/>
        </w:rPr>
        <w:t>Although the agency, to its credit, has expanded the number of IDPs reached by  its  overall  programmes,  including in some protracted situations, there remains a continued lack of accountability or responsibility for IDP protection within the UN’s col- laborative approach.</w:t>
      </w:r>
      <w:r>
        <w:rPr>
          <w:rFonts w:ascii="Adobe Jenson Pro Lt Capt" w:hAnsi="Adobe Jenson Pro Lt Capt"/>
          <w:b w:val="0"/>
          <w:color w:val="231F20"/>
          <w:position w:val="6"/>
          <w:sz w:val="12"/>
        </w:rPr>
        <w:t>64 </w:t>
      </w:r>
      <w:r>
        <w:rPr>
          <w:color w:val="231F20"/>
        </w:rPr>
        <w:t>Several experts have observed that IDPs in some respects are merely an afterthought in a refugee</w:t>
      </w:r>
      <w:r>
        <w:rPr>
          <w:color w:val="231F20"/>
          <w:spacing w:val="11"/>
        </w:rPr>
        <w:t> </w:t>
      </w:r>
      <w:r>
        <w:rPr>
          <w:color w:val="231F20"/>
        </w:rPr>
        <w:t>agency.</w:t>
      </w:r>
      <w:r>
        <w:rPr>
          <w:rFonts w:ascii="Adobe Jenson Pro Lt Capt" w:hAnsi="Adobe Jenson Pro Lt Capt"/>
          <w:b w:val="0"/>
          <w:color w:val="231F20"/>
          <w:position w:val="6"/>
          <w:sz w:val="12"/>
        </w:rPr>
        <w:t>65</w:t>
      </w:r>
    </w:p>
    <w:p>
      <w:pPr>
        <w:pStyle w:val="BodyText"/>
        <w:spacing w:line="278" w:lineRule="auto"/>
        <w:ind w:right="118" w:firstLine="180"/>
      </w:pPr>
      <w:r>
        <w:rPr>
          <w:color w:val="231F20"/>
        </w:rPr>
        <w:t>Of course, the overriding constraint to greater  protection  for  IDPs  lies not</w:t>
      </w:r>
      <w:r>
        <w:rPr>
          <w:color w:val="231F20"/>
          <w:spacing w:val="18"/>
        </w:rPr>
        <w:t> </w:t>
      </w:r>
      <w:r>
        <w:rPr>
          <w:color w:val="231F20"/>
        </w:rPr>
        <w:t>with</w:t>
      </w:r>
      <w:r>
        <w:rPr>
          <w:color w:val="231F20"/>
          <w:spacing w:val="19"/>
        </w:rPr>
        <w:t> </w:t>
      </w:r>
      <w:r>
        <w:rPr>
          <w:color w:val="231F20"/>
        </w:rPr>
        <w:t>institutional</w:t>
      </w:r>
      <w:r>
        <w:rPr>
          <w:color w:val="231F20"/>
          <w:spacing w:val="19"/>
        </w:rPr>
        <w:t> </w:t>
      </w:r>
      <w:r>
        <w:rPr>
          <w:color w:val="231F20"/>
        </w:rPr>
        <w:t>arrangements</w:t>
      </w:r>
      <w:r>
        <w:rPr>
          <w:color w:val="231F20"/>
          <w:spacing w:val="18"/>
        </w:rPr>
        <w:t> </w:t>
      </w:r>
      <w:r>
        <w:rPr>
          <w:color w:val="231F20"/>
        </w:rPr>
        <w:t>but</w:t>
      </w:r>
      <w:r>
        <w:rPr>
          <w:color w:val="231F20"/>
          <w:spacing w:val="19"/>
        </w:rPr>
        <w:t> </w:t>
      </w:r>
      <w:r>
        <w:rPr>
          <w:color w:val="231F20"/>
        </w:rPr>
        <w:t>with</w:t>
      </w:r>
      <w:r>
        <w:rPr>
          <w:color w:val="231F20"/>
          <w:spacing w:val="19"/>
        </w:rPr>
        <w:t> </w:t>
      </w:r>
      <w:r>
        <w:rPr>
          <w:color w:val="231F20"/>
        </w:rPr>
        <w:t>governments</w:t>
      </w:r>
      <w:r>
        <w:rPr>
          <w:color w:val="231F20"/>
          <w:spacing w:val="19"/>
        </w:rPr>
        <w:t> </w:t>
      </w:r>
      <w:r>
        <w:rPr>
          <w:color w:val="231F20"/>
        </w:rPr>
        <w:t>and</w:t>
      </w:r>
      <w:r>
        <w:rPr>
          <w:color w:val="231F20"/>
          <w:spacing w:val="18"/>
        </w:rPr>
        <w:t> </w:t>
      </w:r>
      <w:r>
        <w:rPr>
          <w:color w:val="231F20"/>
        </w:rPr>
        <w:t>armed</w:t>
      </w:r>
      <w:r>
        <w:rPr>
          <w:color w:val="231F20"/>
          <w:spacing w:val="19"/>
        </w:rPr>
        <w:t> </w:t>
      </w:r>
      <w:r>
        <w:rPr>
          <w:color w:val="231F20"/>
        </w:rPr>
        <w:t>non-</w:t>
      </w:r>
    </w:p>
    <w:p>
      <w:pPr>
        <w:pStyle w:val="BodyText"/>
        <w:ind w:left="0"/>
        <w:jc w:val="left"/>
        <w:rPr>
          <w:sz w:val="26"/>
        </w:rPr>
      </w:pPr>
    </w:p>
    <w:p>
      <w:pPr>
        <w:pStyle w:val="BodyText"/>
        <w:ind w:left="0"/>
        <w:jc w:val="left"/>
        <w:rPr>
          <w:sz w:val="22"/>
        </w:rPr>
      </w:pPr>
    </w:p>
    <w:p>
      <w:pPr>
        <w:spacing w:line="211" w:lineRule="auto" w:before="1"/>
        <w:ind w:left="100" w:right="122" w:firstLine="0"/>
        <w:jc w:val="both"/>
        <w:rPr>
          <w:rFonts w:ascii="Palatino Linotype" w:hAnsi="Palatino Linotype"/>
          <w:sz w:val="15"/>
        </w:rPr>
      </w:pPr>
      <w:r>
        <w:rPr>
          <w:rFonts w:ascii="Palatino Linotype" w:hAnsi="Palatino Linotype"/>
          <w:color w:val="231F20"/>
          <w:sz w:val="15"/>
        </w:rPr>
        <w:t>agencies were assigned lead roles in water and sanitation, nutrition, early recovery and other ‘clusters.’ See Egeland (note 41).</w:t>
      </w:r>
    </w:p>
    <w:p>
      <w:pPr>
        <w:pStyle w:val="ListParagraph"/>
        <w:numPr>
          <w:ilvl w:val="0"/>
          <w:numId w:val="3"/>
        </w:numPr>
        <w:tabs>
          <w:tab w:pos="440" w:val="left" w:leader="none"/>
        </w:tabs>
        <w:spacing w:line="213" w:lineRule="auto" w:before="2" w:after="0"/>
        <w:ind w:left="100" w:right="121" w:firstLine="182"/>
        <w:jc w:val="both"/>
        <w:rPr>
          <w:rFonts w:ascii="Adobe Jenson Pro Lt Capt" w:hAnsi="Adobe Jenson Pro Lt Capt"/>
          <w:color w:val="231F20"/>
          <w:sz w:val="12"/>
        </w:rPr>
      </w:pPr>
      <w:r>
        <w:rPr>
          <w:color w:val="231F20"/>
          <w:sz w:val="15"/>
        </w:rPr>
        <w:t>The 10 countries where the ‘cluster’ approach was applied in 2007 were the Central African Republic,</w:t>
      </w:r>
      <w:r>
        <w:rPr>
          <w:color w:val="231F20"/>
          <w:spacing w:val="-18"/>
          <w:sz w:val="15"/>
        </w:rPr>
        <w:t> </w:t>
      </w:r>
      <w:r>
        <w:rPr>
          <w:color w:val="231F20"/>
          <w:sz w:val="15"/>
        </w:rPr>
        <w:t>Chad,</w:t>
      </w:r>
      <w:r>
        <w:rPr>
          <w:color w:val="231F20"/>
          <w:spacing w:val="-18"/>
          <w:sz w:val="15"/>
        </w:rPr>
        <w:t> </w:t>
      </w:r>
      <w:r>
        <w:rPr>
          <w:color w:val="231F20"/>
          <w:sz w:val="15"/>
        </w:rPr>
        <w:t>Colombia,</w:t>
      </w:r>
      <w:r>
        <w:rPr>
          <w:color w:val="231F20"/>
          <w:spacing w:val="-17"/>
          <w:sz w:val="15"/>
        </w:rPr>
        <w:t> </w:t>
      </w:r>
      <w:r>
        <w:rPr>
          <w:color w:val="231F20"/>
          <w:sz w:val="15"/>
        </w:rPr>
        <w:t>Côte</w:t>
      </w:r>
      <w:r>
        <w:rPr>
          <w:color w:val="231F20"/>
          <w:spacing w:val="-18"/>
          <w:sz w:val="15"/>
        </w:rPr>
        <w:t> </w:t>
      </w:r>
      <w:r>
        <w:rPr>
          <w:color w:val="231F20"/>
          <w:sz w:val="15"/>
        </w:rPr>
        <w:t>d’Ivoire,</w:t>
      </w:r>
      <w:r>
        <w:rPr>
          <w:color w:val="231F20"/>
          <w:spacing w:val="-18"/>
          <w:sz w:val="15"/>
        </w:rPr>
        <w:t> </w:t>
      </w:r>
      <w:r>
        <w:rPr>
          <w:color w:val="231F20"/>
          <w:sz w:val="15"/>
        </w:rPr>
        <w:t>the</w:t>
      </w:r>
      <w:r>
        <w:rPr>
          <w:color w:val="231F20"/>
          <w:spacing w:val="-17"/>
          <w:sz w:val="15"/>
        </w:rPr>
        <w:t> </w:t>
      </w:r>
      <w:r>
        <w:rPr>
          <w:color w:val="231F20"/>
          <w:sz w:val="15"/>
        </w:rPr>
        <w:t>DRC,</w:t>
      </w:r>
      <w:r>
        <w:rPr>
          <w:color w:val="231F20"/>
          <w:spacing w:val="-18"/>
          <w:sz w:val="15"/>
        </w:rPr>
        <w:t> </w:t>
      </w:r>
      <w:r>
        <w:rPr>
          <w:color w:val="231F20"/>
          <w:sz w:val="15"/>
        </w:rPr>
        <w:t>Ethiopia,</w:t>
      </w:r>
      <w:r>
        <w:rPr>
          <w:color w:val="231F20"/>
          <w:spacing w:val="-18"/>
          <w:sz w:val="15"/>
        </w:rPr>
        <w:t> </w:t>
      </w:r>
      <w:r>
        <w:rPr>
          <w:color w:val="231F20"/>
          <w:sz w:val="15"/>
        </w:rPr>
        <w:t>Liberia,</w:t>
      </w:r>
      <w:r>
        <w:rPr>
          <w:color w:val="231F20"/>
          <w:spacing w:val="-17"/>
          <w:sz w:val="15"/>
        </w:rPr>
        <w:t> </w:t>
      </w:r>
      <w:r>
        <w:rPr>
          <w:color w:val="231F20"/>
          <w:sz w:val="15"/>
        </w:rPr>
        <w:t>Lebanon,</w:t>
      </w:r>
      <w:r>
        <w:rPr>
          <w:color w:val="231F20"/>
          <w:spacing w:val="-18"/>
          <w:sz w:val="15"/>
        </w:rPr>
        <w:t> </w:t>
      </w:r>
      <w:r>
        <w:rPr>
          <w:color w:val="231F20"/>
          <w:sz w:val="15"/>
        </w:rPr>
        <w:t>Somalia</w:t>
      </w:r>
      <w:r>
        <w:rPr>
          <w:color w:val="231F20"/>
          <w:spacing w:val="-17"/>
          <w:sz w:val="15"/>
        </w:rPr>
        <w:t> </w:t>
      </w:r>
      <w:r>
        <w:rPr>
          <w:color w:val="231F20"/>
          <w:sz w:val="15"/>
        </w:rPr>
        <w:t>and</w:t>
      </w:r>
      <w:r>
        <w:rPr>
          <w:color w:val="231F20"/>
          <w:spacing w:val="-18"/>
          <w:sz w:val="15"/>
        </w:rPr>
        <w:t> </w:t>
      </w:r>
      <w:r>
        <w:rPr>
          <w:color w:val="231F20"/>
          <w:sz w:val="15"/>
        </w:rPr>
        <w:t>Uganda. These accounted for 9 million out of a total of 26 million IDPs in 2007. See International Displacement Monitoring Centre (note 23), p.</w:t>
      </w:r>
      <w:r>
        <w:rPr>
          <w:color w:val="231F20"/>
          <w:spacing w:val="-28"/>
          <w:sz w:val="15"/>
        </w:rPr>
        <w:t> </w:t>
      </w:r>
      <w:r>
        <w:rPr>
          <w:color w:val="231F20"/>
          <w:sz w:val="15"/>
        </w:rPr>
        <w:t>20.</w:t>
      </w:r>
    </w:p>
    <w:p>
      <w:pPr>
        <w:pStyle w:val="ListParagraph"/>
        <w:numPr>
          <w:ilvl w:val="0"/>
          <w:numId w:val="3"/>
        </w:numPr>
        <w:tabs>
          <w:tab w:pos="440" w:val="left" w:leader="none"/>
        </w:tabs>
        <w:spacing w:line="172" w:lineRule="exact" w:before="0" w:after="0"/>
        <w:ind w:left="439" w:right="0" w:hanging="157"/>
        <w:jc w:val="both"/>
        <w:rPr>
          <w:rFonts w:ascii="Adobe Jenson Pro Lt Capt" w:hAnsi="Adobe Jenson Pro Lt Capt"/>
          <w:color w:val="231F20"/>
          <w:sz w:val="12"/>
        </w:rPr>
      </w:pPr>
      <w:r>
        <w:rPr>
          <w:color w:val="231F20"/>
          <w:sz w:val="15"/>
        </w:rPr>
        <w:t>See</w:t>
      </w:r>
      <w:r>
        <w:rPr>
          <w:color w:val="231F20"/>
          <w:spacing w:val="-13"/>
          <w:sz w:val="15"/>
        </w:rPr>
        <w:t> </w:t>
      </w:r>
      <w:r>
        <w:rPr>
          <w:color w:val="231F20"/>
          <w:sz w:val="15"/>
        </w:rPr>
        <w:t>UN</w:t>
      </w:r>
      <w:r>
        <w:rPr>
          <w:color w:val="231F20"/>
          <w:spacing w:val="-12"/>
          <w:sz w:val="15"/>
        </w:rPr>
        <w:t> </w:t>
      </w:r>
      <w:r>
        <w:rPr>
          <w:color w:val="231F20"/>
          <w:sz w:val="15"/>
        </w:rPr>
        <w:t>Inter-Agency</w:t>
      </w:r>
      <w:r>
        <w:rPr>
          <w:color w:val="231F20"/>
          <w:spacing w:val="-12"/>
          <w:sz w:val="15"/>
        </w:rPr>
        <w:t> </w:t>
      </w:r>
      <w:r>
        <w:rPr>
          <w:color w:val="231F20"/>
          <w:sz w:val="15"/>
        </w:rPr>
        <w:t>Standing</w:t>
      </w:r>
      <w:r>
        <w:rPr>
          <w:color w:val="231F20"/>
          <w:spacing w:val="-12"/>
          <w:sz w:val="15"/>
        </w:rPr>
        <w:t> </w:t>
      </w:r>
      <w:r>
        <w:rPr>
          <w:color w:val="231F20"/>
          <w:sz w:val="15"/>
        </w:rPr>
        <w:t>Committee,</w:t>
      </w:r>
      <w:r>
        <w:rPr>
          <w:color w:val="231F20"/>
          <w:spacing w:val="-12"/>
          <w:sz w:val="15"/>
        </w:rPr>
        <w:t> </w:t>
      </w:r>
      <w:r>
        <w:rPr>
          <w:color w:val="231F20"/>
          <w:sz w:val="15"/>
        </w:rPr>
        <w:t>‘Cluster</w:t>
      </w:r>
      <w:r>
        <w:rPr>
          <w:color w:val="231F20"/>
          <w:spacing w:val="-12"/>
          <w:sz w:val="15"/>
        </w:rPr>
        <w:t> </w:t>
      </w:r>
      <w:r>
        <w:rPr>
          <w:color w:val="231F20"/>
          <w:sz w:val="15"/>
        </w:rPr>
        <w:t>approach</w:t>
      </w:r>
      <w:r>
        <w:rPr>
          <w:color w:val="231F20"/>
          <w:spacing w:val="-12"/>
          <w:sz w:val="15"/>
        </w:rPr>
        <w:t> </w:t>
      </w:r>
      <w:r>
        <w:rPr>
          <w:color w:val="231F20"/>
          <w:sz w:val="15"/>
        </w:rPr>
        <w:t>evaluation</w:t>
      </w:r>
      <w:r>
        <w:rPr>
          <w:color w:val="231F20"/>
          <w:spacing w:val="-12"/>
          <w:sz w:val="15"/>
        </w:rPr>
        <w:t> </w:t>
      </w:r>
      <w:r>
        <w:rPr>
          <w:color w:val="231F20"/>
          <w:sz w:val="15"/>
        </w:rPr>
        <w:t>report’,</w:t>
      </w:r>
      <w:r>
        <w:rPr>
          <w:color w:val="231F20"/>
          <w:spacing w:val="-12"/>
          <w:sz w:val="15"/>
        </w:rPr>
        <w:t> </w:t>
      </w:r>
      <w:r>
        <w:rPr>
          <w:color w:val="231F20"/>
          <w:sz w:val="15"/>
        </w:rPr>
        <w:t>21</w:t>
      </w:r>
      <w:r>
        <w:rPr>
          <w:color w:val="231F20"/>
          <w:spacing w:val="-12"/>
          <w:sz w:val="15"/>
        </w:rPr>
        <w:t> </w:t>
      </w:r>
      <w:r>
        <w:rPr>
          <w:color w:val="231F20"/>
          <w:sz w:val="15"/>
        </w:rPr>
        <w:t>Nov.</w:t>
      </w:r>
      <w:r>
        <w:rPr>
          <w:color w:val="231F20"/>
          <w:spacing w:val="-13"/>
          <w:sz w:val="15"/>
        </w:rPr>
        <w:t> </w:t>
      </w:r>
      <w:r>
        <w:rPr>
          <w:color w:val="231F20"/>
          <w:sz w:val="15"/>
        </w:rPr>
        <w:t>2007,</w:t>
      </w:r>
    </w:p>
    <w:p>
      <w:pPr>
        <w:spacing w:line="213" w:lineRule="auto" w:before="5"/>
        <w:ind w:left="100" w:right="121" w:firstLine="0"/>
        <w:jc w:val="both"/>
        <w:rPr>
          <w:rFonts w:ascii="Palatino Linotype" w:hAnsi="Palatino Linotype"/>
          <w:sz w:val="15"/>
        </w:rPr>
      </w:pPr>
      <w:hyperlink r:id="rId28">
        <w:r>
          <w:rPr>
            <w:rFonts w:ascii="Palatino Linotype" w:hAnsi="Palatino Linotype"/>
            <w:color w:val="231F20"/>
            <w:sz w:val="15"/>
          </w:rPr>
          <w:t>&lt;http://www.humanitarianreform.org/Default.aspx?tabid=457&gt;,</w:t>
        </w:r>
        <w:r>
          <w:rPr>
            <w:rFonts w:ascii="Palatino Linotype" w:hAnsi="Palatino Linotype"/>
            <w:color w:val="231F20"/>
            <w:spacing w:val="-7"/>
            <w:sz w:val="15"/>
          </w:rPr>
          <w:t> </w:t>
        </w:r>
      </w:hyperlink>
      <w:r>
        <w:rPr>
          <w:rFonts w:ascii="Palatino Linotype" w:hAnsi="Palatino Linotype"/>
          <w:color w:val="231F20"/>
          <w:sz w:val="15"/>
        </w:rPr>
        <w:t>p.</w:t>
      </w:r>
      <w:r>
        <w:rPr>
          <w:rFonts w:ascii="Palatino Linotype" w:hAnsi="Palatino Linotype"/>
          <w:color w:val="231F20"/>
          <w:spacing w:val="-6"/>
          <w:sz w:val="15"/>
        </w:rPr>
        <w:t> </w:t>
      </w:r>
      <w:r>
        <w:rPr>
          <w:rFonts w:ascii="Palatino Linotype" w:hAnsi="Palatino Linotype"/>
          <w:color w:val="231F20"/>
          <w:sz w:val="15"/>
        </w:rPr>
        <w:t>11;</w:t>
      </w:r>
      <w:r>
        <w:rPr>
          <w:rFonts w:ascii="Palatino Linotype" w:hAnsi="Palatino Linotype"/>
          <w:color w:val="231F20"/>
          <w:spacing w:val="-6"/>
          <w:sz w:val="15"/>
        </w:rPr>
        <w:t> </w:t>
      </w:r>
      <w:r>
        <w:rPr>
          <w:rFonts w:ascii="Palatino Linotype" w:hAnsi="Palatino Linotype"/>
          <w:color w:val="231F20"/>
          <w:sz w:val="15"/>
        </w:rPr>
        <w:t>and</w:t>
      </w:r>
      <w:r>
        <w:rPr>
          <w:rFonts w:ascii="Palatino Linotype" w:hAnsi="Palatino Linotype"/>
          <w:color w:val="231F20"/>
          <w:spacing w:val="-6"/>
          <w:sz w:val="15"/>
        </w:rPr>
        <w:t> </w:t>
      </w:r>
      <w:r>
        <w:rPr>
          <w:rFonts w:ascii="Palatino Linotype" w:hAnsi="Palatino Linotype"/>
          <w:color w:val="231F20"/>
          <w:sz w:val="15"/>
        </w:rPr>
        <w:t>Crisp,</w:t>
      </w:r>
      <w:r>
        <w:rPr>
          <w:rFonts w:ascii="Palatino Linotype" w:hAnsi="Palatino Linotype"/>
          <w:color w:val="231F20"/>
          <w:spacing w:val="-6"/>
          <w:sz w:val="15"/>
        </w:rPr>
        <w:t> </w:t>
      </w:r>
      <w:r>
        <w:rPr>
          <w:rFonts w:ascii="Palatino Linotype" w:hAnsi="Palatino Linotype"/>
          <w:color w:val="231F20"/>
          <w:sz w:val="15"/>
        </w:rPr>
        <w:t>J.,</w:t>
      </w:r>
      <w:r>
        <w:rPr>
          <w:rFonts w:ascii="Palatino Linotype" w:hAnsi="Palatino Linotype"/>
          <w:color w:val="231F20"/>
          <w:spacing w:val="-7"/>
          <w:sz w:val="15"/>
        </w:rPr>
        <w:t> </w:t>
      </w:r>
      <w:r>
        <w:rPr>
          <w:rFonts w:ascii="Palatino Linotype" w:hAnsi="Palatino Linotype"/>
          <w:color w:val="231F20"/>
          <w:sz w:val="15"/>
        </w:rPr>
        <w:t>Kiragu,</w:t>
      </w:r>
      <w:r>
        <w:rPr>
          <w:rFonts w:ascii="Palatino Linotype" w:hAnsi="Palatino Linotype"/>
          <w:color w:val="231F20"/>
          <w:spacing w:val="-6"/>
          <w:sz w:val="15"/>
        </w:rPr>
        <w:t> </w:t>
      </w:r>
      <w:r>
        <w:rPr>
          <w:rFonts w:ascii="Palatino Linotype" w:hAnsi="Palatino Linotype"/>
          <w:color w:val="231F20"/>
          <w:sz w:val="15"/>
        </w:rPr>
        <w:t>E.</w:t>
      </w:r>
      <w:r>
        <w:rPr>
          <w:rFonts w:ascii="Palatino Linotype" w:hAnsi="Palatino Linotype"/>
          <w:color w:val="231F20"/>
          <w:spacing w:val="-6"/>
          <w:sz w:val="15"/>
        </w:rPr>
        <w:t> </w:t>
      </w:r>
      <w:r>
        <w:rPr>
          <w:rFonts w:ascii="Palatino Linotype" w:hAnsi="Palatino Linotype"/>
          <w:color w:val="231F20"/>
          <w:sz w:val="15"/>
        </w:rPr>
        <w:t>and Tennant, V., UNHCR, ‘IDPs and  humanitarian  reform’,  </w:t>
      </w:r>
      <w:r>
        <w:rPr>
          <w:rFonts w:ascii="Palatino Linotype" w:hAnsi="Palatino Linotype"/>
          <w:i/>
          <w:color w:val="231F20"/>
          <w:sz w:val="15"/>
        </w:rPr>
        <w:t>Forced  Migration  Review</w:t>
      </w:r>
      <w:r>
        <w:rPr>
          <w:rFonts w:ascii="Palatino Linotype" w:hAnsi="Palatino Linotype"/>
          <w:color w:val="231F20"/>
          <w:sz w:val="15"/>
        </w:rPr>
        <w:t>,  Dec.  2007,  pp.</w:t>
      </w:r>
      <w:r>
        <w:rPr>
          <w:rFonts w:ascii="Palatino Linotype" w:hAnsi="Palatino Linotype"/>
          <w:color w:val="231F20"/>
          <w:spacing w:val="-5"/>
          <w:sz w:val="15"/>
        </w:rPr>
        <w:t> </w:t>
      </w:r>
      <w:r>
        <w:rPr>
          <w:rFonts w:ascii="Palatino Linotype" w:hAnsi="Palatino Linotype"/>
          <w:color w:val="231F20"/>
          <w:sz w:val="15"/>
        </w:rPr>
        <w:t>12–14.</w:t>
      </w:r>
    </w:p>
    <w:p>
      <w:pPr>
        <w:pStyle w:val="ListParagraph"/>
        <w:numPr>
          <w:ilvl w:val="0"/>
          <w:numId w:val="3"/>
        </w:numPr>
        <w:tabs>
          <w:tab w:pos="440" w:val="left" w:leader="none"/>
        </w:tabs>
        <w:spacing w:line="213" w:lineRule="auto" w:before="2" w:after="0"/>
        <w:ind w:left="100" w:right="120" w:firstLine="182"/>
        <w:jc w:val="both"/>
        <w:rPr>
          <w:rFonts w:ascii="Adobe Jenson Pro Lt Capt" w:hAnsi="Adobe Jenson Pro Lt Capt"/>
          <w:color w:val="231F20"/>
          <w:sz w:val="12"/>
        </w:rPr>
      </w:pPr>
      <w:r>
        <w:rPr>
          <w:color w:val="231F20"/>
          <w:sz w:val="15"/>
        </w:rPr>
        <w:t>‘Providing capacity to do protection: ProCap’, </w:t>
      </w:r>
      <w:r>
        <w:rPr>
          <w:i/>
          <w:color w:val="231F20"/>
          <w:sz w:val="15"/>
        </w:rPr>
        <w:t>Forced Migration Review</w:t>
      </w:r>
      <w:r>
        <w:rPr>
          <w:color w:val="231F20"/>
          <w:sz w:val="15"/>
        </w:rPr>
        <w:t>, special issue, Dec. 2006,</w:t>
      </w:r>
      <w:r>
        <w:rPr>
          <w:color w:val="231F20"/>
          <w:spacing w:val="-9"/>
          <w:sz w:val="15"/>
        </w:rPr>
        <w:t> </w:t>
      </w:r>
      <w:r>
        <w:rPr>
          <w:color w:val="231F20"/>
          <w:sz w:val="15"/>
        </w:rPr>
        <w:t>p.</w:t>
      </w:r>
      <w:r>
        <w:rPr>
          <w:color w:val="231F20"/>
          <w:spacing w:val="-9"/>
          <w:sz w:val="15"/>
        </w:rPr>
        <w:t> </w:t>
      </w:r>
      <w:r>
        <w:rPr>
          <w:color w:val="231F20"/>
          <w:sz w:val="15"/>
        </w:rPr>
        <w:t>14;</w:t>
      </w:r>
      <w:r>
        <w:rPr>
          <w:color w:val="231F20"/>
          <w:spacing w:val="-9"/>
          <w:sz w:val="15"/>
        </w:rPr>
        <w:t> </w:t>
      </w:r>
      <w:r>
        <w:rPr>
          <w:color w:val="231F20"/>
          <w:sz w:val="15"/>
        </w:rPr>
        <w:t>and</w:t>
      </w:r>
      <w:r>
        <w:rPr>
          <w:color w:val="231F20"/>
          <w:spacing w:val="-9"/>
          <w:sz w:val="15"/>
        </w:rPr>
        <w:t> </w:t>
      </w:r>
      <w:r>
        <w:rPr>
          <w:color w:val="231F20"/>
          <w:sz w:val="15"/>
        </w:rPr>
        <w:t>the</w:t>
      </w:r>
      <w:r>
        <w:rPr>
          <w:color w:val="231F20"/>
          <w:spacing w:val="-9"/>
          <w:sz w:val="15"/>
        </w:rPr>
        <w:t> </w:t>
      </w:r>
      <w:r>
        <w:rPr>
          <w:color w:val="231F20"/>
          <w:sz w:val="15"/>
        </w:rPr>
        <w:t>ProCap</w:t>
      </w:r>
      <w:r>
        <w:rPr>
          <w:color w:val="231F20"/>
          <w:spacing w:val="-8"/>
          <w:sz w:val="15"/>
        </w:rPr>
        <w:t> </w:t>
      </w:r>
      <w:r>
        <w:rPr>
          <w:color w:val="231F20"/>
          <w:sz w:val="15"/>
        </w:rPr>
        <w:t>website,</w:t>
      </w:r>
      <w:r>
        <w:rPr>
          <w:color w:val="231F20"/>
          <w:spacing w:val="-9"/>
          <w:sz w:val="15"/>
        </w:rPr>
        <w:t> </w:t>
      </w:r>
      <w:hyperlink r:id="rId29">
        <w:r>
          <w:rPr>
            <w:color w:val="231F20"/>
            <w:sz w:val="15"/>
          </w:rPr>
          <w:t>&lt;http://ocha.unog.ch/ProCapOnline/&gt;.</w:t>
        </w:r>
        <w:r>
          <w:rPr>
            <w:color w:val="231F20"/>
            <w:spacing w:val="-9"/>
            <w:sz w:val="15"/>
          </w:rPr>
          <w:t> </w:t>
        </w:r>
      </w:hyperlink>
      <w:r>
        <w:rPr>
          <w:color w:val="231F20"/>
          <w:sz w:val="15"/>
        </w:rPr>
        <w:t>For</w:t>
      </w:r>
      <w:r>
        <w:rPr>
          <w:color w:val="231F20"/>
          <w:spacing w:val="-9"/>
          <w:sz w:val="15"/>
        </w:rPr>
        <w:t> </w:t>
      </w:r>
      <w:r>
        <w:rPr>
          <w:color w:val="231F20"/>
          <w:sz w:val="15"/>
        </w:rPr>
        <w:t>the</w:t>
      </w:r>
      <w:r>
        <w:rPr>
          <w:color w:val="231F20"/>
          <w:spacing w:val="-9"/>
          <w:sz w:val="15"/>
        </w:rPr>
        <w:t> </w:t>
      </w:r>
      <w:r>
        <w:rPr>
          <w:color w:val="231F20"/>
          <w:sz w:val="15"/>
        </w:rPr>
        <w:t>UNHCR</w:t>
      </w:r>
      <w:r>
        <w:rPr>
          <w:color w:val="231F20"/>
          <w:spacing w:val="-9"/>
          <w:sz w:val="15"/>
        </w:rPr>
        <w:t> </w:t>
      </w:r>
      <w:r>
        <w:rPr>
          <w:color w:val="231F20"/>
          <w:sz w:val="15"/>
        </w:rPr>
        <w:t>Hand- book see Global Protection Cluster Working Group, </w:t>
      </w:r>
      <w:r>
        <w:rPr>
          <w:i/>
          <w:color w:val="231F20"/>
          <w:sz w:val="15"/>
        </w:rPr>
        <w:t>Handbook for the Protection of Internally Dis- </w:t>
      </w:r>
      <w:r>
        <w:rPr>
          <w:i/>
          <w:color w:val="231F20"/>
          <w:sz w:val="15"/>
        </w:rPr>
        <w:t>placed</w:t>
      </w:r>
      <w:r>
        <w:rPr>
          <w:i/>
          <w:color w:val="231F20"/>
          <w:spacing w:val="-6"/>
          <w:sz w:val="15"/>
        </w:rPr>
        <w:t> </w:t>
      </w:r>
      <w:r>
        <w:rPr>
          <w:i/>
          <w:color w:val="231F20"/>
          <w:sz w:val="15"/>
        </w:rPr>
        <w:t>Persons</w:t>
      </w:r>
      <w:r>
        <w:rPr>
          <w:i/>
          <w:color w:val="231F20"/>
          <w:spacing w:val="-5"/>
          <w:sz w:val="15"/>
        </w:rPr>
        <w:t> </w:t>
      </w:r>
      <w:r>
        <w:rPr>
          <w:color w:val="231F20"/>
          <w:sz w:val="15"/>
        </w:rPr>
        <w:t>(Global</w:t>
      </w:r>
      <w:r>
        <w:rPr>
          <w:color w:val="231F20"/>
          <w:spacing w:val="-5"/>
          <w:sz w:val="15"/>
        </w:rPr>
        <w:t> </w:t>
      </w:r>
      <w:r>
        <w:rPr>
          <w:color w:val="231F20"/>
          <w:sz w:val="15"/>
        </w:rPr>
        <w:t>Protection</w:t>
      </w:r>
      <w:r>
        <w:rPr>
          <w:color w:val="231F20"/>
          <w:spacing w:val="-5"/>
          <w:sz w:val="15"/>
        </w:rPr>
        <w:t> </w:t>
      </w:r>
      <w:r>
        <w:rPr>
          <w:color w:val="231F20"/>
          <w:sz w:val="15"/>
        </w:rPr>
        <w:t>Cluster</w:t>
      </w:r>
      <w:r>
        <w:rPr>
          <w:color w:val="231F20"/>
          <w:spacing w:val="-5"/>
          <w:sz w:val="15"/>
        </w:rPr>
        <w:t> </w:t>
      </w:r>
      <w:r>
        <w:rPr>
          <w:color w:val="231F20"/>
          <w:sz w:val="15"/>
        </w:rPr>
        <w:t>Working</w:t>
      </w:r>
      <w:r>
        <w:rPr>
          <w:color w:val="231F20"/>
          <w:spacing w:val="-6"/>
          <w:sz w:val="15"/>
        </w:rPr>
        <w:t> </w:t>
      </w:r>
      <w:r>
        <w:rPr>
          <w:color w:val="231F20"/>
          <w:sz w:val="15"/>
        </w:rPr>
        <w:t>Group:</w:t>
      </w:r>
      <w:r>
        <w:rPr>
          <w:color w:val="231F20"/>
          <w:spacing w:val="-5"/>
          <w:sz w:val="15"/>
        </w:rPr>
        <w:t> </w:t>
      </w:r>
      <w:r>
        <w:rPr>
          <w:color w:val="231F20"/>
          <w:sz w:val="15"/>
        </w:rPr>
        <w:t>Geneva,</w:t>
      </w:r>
      <w:r>
        <w:rPr>
          <w:color w:val="231F20"/>
          <w:spacing w:val="-5"/>
          <w:sz w:val="15"/>
        </w:rPr>
        <w:t> </w:t>
      </w:r>
      <w:r>
        <w:rPr>
          <w:color w:val="231F20"/>
          <w:sz w:val="15"/>
        </w:rPr>
        <w:t>Dec.</w:t>
      </w:r>
      <w:r>
        <w:rPr>
          <w:color w:val="231F20"/>
          <w:spacing w:val="-5"/>
          <w:sz w:val="15"/>
        </w:rPr>
        <w:t> </w:t>
      </w:r>
      <w:r>
        <w:rPr>
          <w:color w:val="231F20"/>
          <w:sz w:val="15"/>
        </w:rPr>
        <w:t>2007).</w:t>
      </w:r>
    </w:p>
    <w:p>
      <w:pPr>
        <w:pStyle w:val="ListParagraph"/>
        <w:numPr>
          <w:ilvl w:val="0"/>
          <w:numId w:val="3"/>
        </w:numPr>
        <w:tabs>
          <w:tab w:pos="440" w:val="left" w:leader="none"/>
        </w:tabs>
        <w:spacing w:line="213" w:lineRule="auto" w:before="0" w:after="0"/>
        <w:ind w:left="100" w:right="121" w:firstLine="182"/>
        <w:jc w:val="both"/>
        <w:rPr>
          <w:rFonts w:ascii="Adobe Jenson Pro Lt Capt" w:hAnsi="Adobe Jenson Pro Lt Capt"/>
          <w:color w:val="231F20"/>
          <w:sz w:val="12"/>
        </w:rPr>
      </w:pPr>
      <w:r>
        <w:rPr>
          <w:color w:val="231F20"/>
          <w:sz w:val="15"/>
        </w:rPr>
        <w:t>Field</w:t>
      </w:r>
      <w:r>
        <w:rPr>
          <w:color w:val="231F20"/>
          <w:spacing w:val="-7"/>
          <w:sz w:val="15"/>
        </w:rPr>
        <w:t> </w:t>
      </w:r>
      <w:r>
        <w:rPr>
          <w:color w:val="231F20"/>
          <w:sz w:val="15"/>
        </w:rPr>
        <w:t>and</w:t>
      </w:r>
      <w:r>
        <w:rPr>
          <w:color w:val="231F20"/>
          <w:spacing w:val="-6"/>
          <w:sz w:val="15"/>
        </w:rPr>
        <w:t> </w:t>
      </w:r>
      <w:r>
        <w:rPr>
          <w:color w:val="231F20"/>
          <w:sz w:val="15"/>
        </w:rPr>
        <w:t>headquarters</w:t>
      </w:r>
      <w:r>
        <w:rPr>
          <w:color w:val="231F20"/>
          <w:spacing w:val="-7"/>
          <w:sz w:val="15"/>
        </w:rPr>
        <w:t> </w:t>
      </w:r>
      <w:r>
        <w:rPr>
          <w:color w:val="231F20"/>
          <w:sz w:val="15"/>
        </w:rPr>
        <w:t>staff,</w:t>
      </w:r>
      <w:r>
        <w:rPr>
          <w:color w:val="231F20"/>
          <w:spacing w:val="-6"/>
          <w:sz w:val="15"/>
        </w:rPr>
        <w:t> </w:t>
      </w:r>
      <w:r>
        <w:rPr>
          <w:color w:val="231F20"/>
          <w:sz w:val="15"/>
        </w:rPr>
        <w:t>Interviews,</w:t>
      </w:r>
      <w:r>
        <w:rPr>
          <w:color w:val="231F20"/>
          <w:spacing w:val="-6"/>
          <w:sz w:val="15"/>
        </w:rPr>
        <w:t> </w:t>
      </w:r>
      <w:r>
        <w:rPr>
          <w:color w:val="231F20"/>
          <w:sz w:val="15"/>
        </w:rPr>
        <w:t>16–17</w:t>
      </w:r>
      <w:r>
        <w:rPr>
          <w:color w:val="231F20"/>
          <w:spacing w:val="-7"/>
          <w:sz w:val="15"/>
        </w:rPr>
        <w:t> </w:t>
      </w:r>
      <w:r>
        <w:rPr>
          <w:color w:val="231F20"/>
          <w:sz w:val="15"/>
        </w:rPr>
        <w:t>Oct.</w:t>
      </w:r>
      <w:r>
        <w:rPr>
          <w:color w:val="231F20"/>
          <w:spacing w:val="-6"/>
          <w:sz w:val="15"/>
        </w:rPr>
        <w:t> </w:t>
      </w:r>
      <w:r>
        <w:rPr>
          <w:color w:val="231F20"/>
          <w:sz w:val="15"/>
        </w:rPr>
        <w:t>2008;</w:t>
      </w:r>
      <w:r>
        <w:rPr>
          <w:color w:val="231F20"/>
          <w:spacing w:val="-6"/>
          <w:sz w:val="15"/>
        </w:rPr>
        <w:t> </w:t>
      </w:r>
      <w:r>
        <w:rPr>
          <w:color w:val="231F20"/>
          <w:sz w:val="15"/>
        </w:rPr>
        <w:t>and</w:t>
      </w:r>
      <w:r>
        <w:rPr>
          <w:color w:val="231F20"/>
          <w:spacing w:val="-7"/>
          <w:sz w:val="15"/>
        </w:rPr>
        <w:t> </w:t>
      </w:r>
      <w:r>
        <w:rPr>
          <w:color w:val="231F20"/>
          <w:sz w:val="15"/>
        </w:rPr>
        <w:t>UNHCR,</w:t>
      </w:r>
      <w:r>
        <w:rPr>
          <w:color w:val="231F20"/>
          <w:spacing w:val="-6"/>
          <w:sz w:val="15"/>
        </w:rPr>
        <w:t> </w:t>
      </w:r>
      <w:r>
        <w:rPr>
          <w:color w:val="231F20"/>
          <w:sz w:val="15"/>
        </w:rPr>
        <w:t>Executive</w:t>
      </w:r>
      <w:r>
        <w:rPr>
          <w:color w:val="231F20"/>
          <w:spacing w:val="-6"/>
          <w:sz w:val="15"/>
        </w:rPr>
        <w:t> </w:t>
      </w:r>
      <w:r>
        <w:rPr>
          <w:color w:val="231F20"/>
          <w:sz w:val="15"/>
        </w:rPr>
        <w:t>Committee of the High Commissioner’s Programme, ‘Progress on mainstreaming IDP issues in UNHCR and global</w:t>
      </w:r>
      <w:r>
        <w:rPr>
          <w:color w:val="231F20"/>
          <w:spacing w:val="-5"/>
          <w:sz w:val="15"/>
        </w:rPr>
        <w:t> </w:t>
      </w:r>
      <w:r>
        <w:rPr>
          <w:color w:val="231F20"/>
          <w:sz w:val="15"/>
        </w:rPr>
        <w:t>work</w:t>
      </w:r>
      <w:r>
        <w:rPr>
          <w:color w:val="231F20"/>
          <w:spacing w:val="-4"/>
          <w:sz w:val="15"/>
        </w:rPr>
        <w:t> </w:t>
      </w:r>
      <w:r>
        <w:rPr>
          <w:color w:val="231F20"/>
          <w:sz w:val="15"/>
        </w:rPr>
        <w:t>plan</w:t>
      </w:r>
      <w:r>
        <w:rPr>
          <w:color w:val="231F20"/>
          <w:spacing w:val="-5"/>
          <w:sz w:val="15"/>
        </w:rPr>
        <w:t> </w:t>
      </w:r>
      <w:r>
        <w:rPr>
          <w:color w:val="231F20"/>
          <w:sz w:val="15"/>
        </w:rPr>
        <w:t>for</w:t>
      </w:r>
      <w:r>
        <w:rPr>
          <w:color w:val="231F20"/>
          <w:spacing w:val="-4"/>
          <w:sz w:val="15"/>
        </w:rPr>
        <w:t> </w:t>
      </w:r>
      <w:r>
        <w:rPr>
          <w:color w:val="231F20"/>
          <w:sz w:val="15"/>
        </w:rPr>
        <w:t>IDP</w:t>
      </w:r>
      <w:r>
        <w:rPr>
          <w:color w:val="231F20"/>
          <w:spacing w:val="-4"/>
          <w:sz w:val="15"/>
        </w:rPr>
        <w:t> </w:t>
      </w:r>
      <w:r>
        <w:rPr>
          <w:color w:val="231F20"/>
          <w:sz w:val="15"/>
        </w:rPr>
        <w:t>operations’,</w:t>
      </w:r>
      <w:r>
        <w:rPr>
          <w:color w:val="231F20"/>
          <w:spacing w:val="-5"/>
          <w:sz w:val="15"/>
        </w:rPr>
        <w:t> </w:t>
      </w:r>
      <w:r>
        <w:rPr>
          <w:color w:val="231F20"/>
          <w:sz w:val="15"/>
        </w:rPr>
        <w:t>EC/59/SC/CRP.16,</w:t>
      </w:r>
      <w:r>
        <w:rPr>
          <w:color w:val="231F20"/>
          <w:spacing w:val="-4"/>
          <w:sz w:val="15"/>
        </w:rPr>
        <w:t> </w:t>
      </w:r>
      <w:r>
        <w:rPr>
          <w:color w:val="231F20"/>
          <w:sz w:val="15"/>
        </w:rPr>
        <w:t>2</w:t>
      </w:r>
      <w:r>
        <w:rPr>
          <w:color w:val="231F20"/>
          <w:spacing w:val="-4"/>
          <w:sz w:val="15"/>
        </w:rPr>
        <w:t> </w:t>
      </w:r>
      <w:r>
        <w:rPr>
          <w:color w:val="231F20"/>
          <w:sz w:val="15"/>
        </w:rPr>
        <w:t>June</w:t>
      </w:r>
      <w:r>
        <w:rPr>
          <w:color w:val="231F20"/>
          <w:spacing w:val="-5"/>
          <w:sz w:val="15"/>
        </w:rPr>
        <w:t> </w:t>
      </w:r>
      <w:r>
        <w:rPr>
          <w:color w:val="231F20"/>
          <w:sz w:val="15"/>
        </w:rPr>
        <w:t>2008.</w:t>
      </w:r>
    </w:p>
    <w:p>
      <w:pPr>
        <w:pStyle w:val="ListParagraph"/>
        <w:numPr>
          <w:ilvl w:val="0"/>
          <w:numId w:val="3"/>
        </w:numPr>
        <w:tabs>
          <w:tab w:pos="440" w:val="left" w:leader="none"/>
        </w:tabs>
        <w:spacing w:line="172" w:lineRule="exact" w:before="0" w:after="0"/>
        <w:ind w:left="439" w:right="0" w:hanging="157"/>
        <w:jc w:val="both"/>
        <w:rPr>
          <w:rFonts w:ascii="Adobe Jenson Pro Lt Capt"/>
          <w:color w:val="231F20"/>
          <w:sz w:val="12"/>
        </w:rPr>
      </w:pPr>
      <w:r>
        <w:rPr>
          <w:color w:val="231F20"/>
          <w:sz w:val="15"/>
        </w:rPr>
        <w:t>Internal</w:t>
      </w:r>
      <w:r>
        <w:rPr>
          <w:color w:val="231F20"/>
          <w:spacing w:val="-5"/>
          <w:sz w:val="15"/>
        </w:rPr>
        <w:t> </w:t>
      </w:r>
      <w:r>
        <w:rPr>
          <w:color w:val="231F20"/>
          <w:sz w:val="15"/>
        </w:rPr>
        <w:t>Displacement</w:t>
      </w:r>
      <w:r>
        <w:rPr>
          <w:color w:val="231F20"/>
          <w:spacing w:val="-5"/>
          <w:sz w:val="15"/>
        </w:rPr>
        <w:t> </w:t>
      </w:r>
      <w:r>
        <w:rPr>
          <w:color w:val="231F20"/>
          <w:sz w:val="15"/>
        </w:rPr>
        <w:t>Monitoring</w:t>
      </w:r>
      <w:r>
        <w:rPr>
          <w:color w:val="231F20"/>
          <w:spacing w:val="-4"/>
          <w:sz w:val="15"/>
        </w:rPr>
        <w:t> </w:t>
      </w:r>
      <w:r>
        <w:rPr>
          <w:color w:val="231F20"/>
          <w:sz w:val="15"/>
        </w:rPr>
        <w:t>Centre</w:t>
      </w:r>
      <w:r>
        <w:rPr>
          <w:color w:val="231F20"/>
          <w:spacing w:val="-5"/>
          <w:sz w:val="15"/>
        </w:rPr>
        <w:t> </w:t>
      </w:r>
      <w:r>
        <w:rPr>
          <w:color w:val="231F20"/>
          <w:sz w:val="15"/>
        </w:rPr>
        <w:t>(note</w:t>
      </w:r>
      <w:r>
        <w:rPr>
          <w:color w:val="231F20"/>
          <w:spacing w:val="-5"/>
          <w:sz w:val="15"/>
        </w:rPr>
        <w:t> </w:t>
      </w:r>
      <w:r>
        <w:rPr>
          <w:color w:val="231F20"/>
          <w:sz w:val="15"/>
        </w:rPr>
        <w:t>23),</w:t>
      </w:r>
      <w:r>
        <w:rPr>
          <w:color w:val="231F20"/>
          <w:spacing w:val="-4"/>
          <w:sz w:val="15"/>
        </w:rPr>
        <w:t> </w:t>
      </w:r>
      <w:r>
        <w:rPr>
          <w:color w:val="231F20"/>
          <w:sz w:val="15"/>
        </w:rPr>
        <w:t>p.</w:t>
      </w:r>
      <w:r>
        <w:rPr>
          <w:color w:val="231F20"/>
          <w:spacing w:val="-5"/>
          <w:sz w:val="15"/>
        </w:rPr>
        <w:t> </w:t>
      </w:r>
      <w:r>
        <w:rPr>
          <w:color w:val="231F20"/>
          <w:sz w:val="15"/>
        </w:rPr>
        <w:t>20.</w:t>
      </w:r>
    </w:p>
    <w:p>
      <w:pPr>
        <w:pStyle w:val="ListParagraph"/>
        <w:numPr>
          <w:ilvl w:val="0"/>
          <w:numId w:val="3"/>
        </w:numPr>
        <w:tabs>
          <w:tab w:pos="440" w:val="left" w:leader="none"/>
        </w:tabs>
        <w:spacing w:line="192" w:lineRule="exact" w:before="0" w:after="0"/>
        <w:ind w:left="439" w:right="0" w:hanging="157"/>
        <w:jc w:val="both"/>
        <w:rPr>
          <w:rFonts w:ascii="Adobe Jenson Pro Lt Capt" w:hAnsi="Adobe Jenson Pro Lt Capt"/>
          <w:color w:val="231F20"/>
          <w:sz w:val="12"/>
        </w:rPr>
      </w:pPr>
      <w:r>
        <w:rPr>
          <w:color w:val="231F20"/>
          <w:sz w:val="15"/>
        </w:rPr>
        <w:t>Martin et al. (note 43), pp.</w:t>
      </w:r>
      <w:r>
        <w:rPr>
          <w:color w:val="231F20"/>
          <w:spacing w:val="-27"/>
          <w:sz w:val="15"/>
        </w:rPr>
        <w:t> </w:t>
      </w:r>
      <w:r>
        <w:rPr>
          <w:color w:val="231F20"/>
          <w:sz w:val="15"/>
        </w:rPr>
        <w:t>112–23.</w:t>
      </w:r>
    </w:p>
    <w:p>
      <w:pPr>
        <w:spacing w:after="0" w:line="192" w:lineRule="exact"/>
        <w:jc w:val="both"/>
        <w:rPr>
          <w:rFonts w:ascii="Adobe Jenson Pro Lt Capt" w:hAnsi="Adobe Jenson Pro Lt Capt"/>
          <w:sz w:val="12"/>
        </w:rPr>
        <w:sectPr>
          <w:pgSz w:w="8850" w:h="13270"/>
          <w:pgMar w:header="752" w:footer="0" w:top="1080" w:bottom="280" w:left="1080" w:right="1060"/>
        </w:sectPr>
      </w:pPr>
    </w:p>
    <w:p>
      <w:pPr>
        <w:pStyle w:val="BodyText"/>
        <w:spacing w:line="278" w:lineRule="auto" w:before="141"/>
        <w:ind w:right="117"/>
        <w:rPr>
          <w:rFonts w:ascii="Adobe Jenson Pro Lt Capt" w:hAnsi="Adobe Jenson Pro Lt Capt"/>
          <w:b w:val="0"/>
          <w:sz w:val="12"/>
        </w:rPr>
      </w:pPr>
      <w:r>
        <w:rPr>
          <w:color w:val="232020"/>
        </w:rPr>
        <w:t>state actors that deny or obstruct international access to displaced popu- lations and commit violence against them. Consequently, since 1999 the UN Security Council has become actively engaged with the protection of civil- ians in armed conﬂict. It has demanded access in a number of countries, deployed Chapter VI and VII peacekeeping operations, and created frame- works to protect civilians under imminent threat, including the accompani- ment of aid shipments, the creation of greater security in and around IDP and refugee camps, and the establishment of stable  conditions  to  enable IDP and refugee</w:t>
      </w:r>
      <w:r>
        <w:rPr>
          <w:color w:val="232020"/>
          <w:spacing w:val="-2"/>
        </w:rPr>
        <w:t> </w:t>
      </w:r>
      <w:r>
        <w:rPr>
          <w:color w:val="232020"/>
        </w:rPr>
        <w:t>returns.</w:t>
      </w:r>
      <w:r>
        <w:rPr>
          <w:rFonts w:ascii="Adobe Jenson Pro Lt Capt" w:hAnsi="Adobe Jenson Pro Lt Capt"/>
          <w:b w:val="0"/>
          <w:color w:val="232020"/>
          <w:position w:val="6"/>
          <w:sz w:val="12"/>
        </w:rPr>
        <w:t>66</w:t>
      </w:r>
    </w:p>
    <w:p>
      <w:pPr>
        <w:pStyle w:val="BodyText"/>
        <w:spacing w:line="278" w:lineRule="auto"/>
        <w:ind w:right="117" w:firstLine="180"/>
      </w:pPr>
      <w:r>
        <w:rPr>
          <w:color w:val="232020"/>
        </w:rPr>
        <w:t>One tangible result has been the inclusion in a growing number of UN peacekeeping mandates of the authority to protect displaced and other war-affected populations under imminent threat. This has enhanced secur- ity for IDPs and refugees in a number of countries.</w:t>
      </w:r>
      <w:r>
        <w:rPr>
          <w:rFonts w:ascii="Adobe Jenson Pro Lt Capt" w:hAnsi="Adobe Jenson Pro Lt Capt"/>
          <w:b w:val="0"/>
          <w:color w:val="232020"/>
          <w:position w:val="6"/>
          <w:sz w:val="12"/>
        </w:rPr>
        <w:t>67 </w:t>
      </w:r>
      <w:r>
        <w:rPr>
          <w:color w:val="232020"/>
        </w:rPr>
        <w:t>In others, peace- keeping missions have been thwarted by host country interference, insuffi- cient troops and equipment and ambiguous mandates. Political divisions in the Security Council have contributed to these problems as have the failure  of states, especially among the developed countries,  to  contribute  troops and equipment and the refusal of the afflicted states to accept contributions from all donors.</w:t>
      </w:r>
      <w:r>
        <w:rPr>
          <w:rFonts w:ascii="Adobe Jenson Pro Lt Capt" w:hAnsi="Adobe Jenson Pro Lt Capt"/>
          <w:b w:val="0"/>
          <w:color w:val="232020"/>
          <w:position w:val="6"/>
          <w:sz w:val="12"/>
        </w:rPr>
        <w:t>68 </w:t>
      </w:r>
      <w:r>
        <w:rPr>
          <w:color w:val="232020"/>
        </w:rPr>
        <w:t>Moreover, the absence of strategic military reserves that the UN can rely on means that each deployment starts from scratch. Thus, for two years the UN has been trying to deploy 26 000 troops and police   plus equipment to Darfur. In the DRC the Security Council took more than    a month in 2008 to authorize a ‘surge’ of 3000 troops to deal with acceler- ated violence in North Kivu, and it will take many more months to actually deploy that force.</w:t>
      </w:r>
      <w:r>
        <w:rPr>
          <w:rFonts w:ascii="Adobe Jenson Pro Lt Capt" w:hAnsi="Adobe Jenson Pro Lt Capt"/>
          <w:b w:val="0"/>
          <w:color w:val="232020"/>
          <w:position w:val="6"/>
          <w:sz w:val="12"/>
        </w:rPr>
        <w:t>69 </w:t>
      </w:r>
      <w:r>
        <w:rPr>
          <w:color w:val="232020"/>
        </w:rPr>
        <w:t>In addition, the mandate of the UN Mission in the Democratic Republic of the Congo (MONUC) has been a  complicating  factor. It is pledged to assist the government create a secure environment, but</w:t>
      </w:r>
      <w:r>
        <w:rPr>
          <w:color w:val="232020"/>
          <w:spacing w:val="39"/>
        </w:rPr>
        <w:t> </w:t>
      </w:r>
      <w:r>
        <w:rPr>
          <w:color w:val="232020"/>
        </w:rPr>
        <w:t>its</w:t>
      </w:r>
      <w:r>
        <w:rPr>
          <w:color w:val="232020"/>
          <w:spacing w:val="40"/>
        </w:rPr>
        <w:t> </w:t>
      </w:r>
      <w:r>
        <w:rPr>
          <w:color w:val="232020"/>
        </w:rPr>
        <w:t>terms</w:t>
      </w:r>
      <w:r>
        <w:rPr>
          <w:color w:val="232020"/>
          <w:spacing w:val="40"/>
        </w:rPr>
        <w:t> </w:t>
      </w:r>
      <w:r>
        <w:rPr>
          <w:color w:val="232020"/>
        </w:rPr>
        <w:t>of</w:t>
      </w:r>
      <w:r>
        <w:rPr>
          <w:color w:val="232020"/>
          <w:spacing w:val="39"/>
        </w:rPr>
        <w:t> </w:t>
      </w:r>
      <w:r>
        <w:rPr>
          <w:color w:val="232020"/>
        </w:rPr>
        <w:t>reference</w:t>
      </w:r>
      <w:r>
        <w:rPr>
          <w:color w:val="232020"/>
          <w:spacing w:val="40"/>
        </w:rPr>
        <w:t> </w:t>
      </w:r>
      <w:r>
        <w:rPr>
          <w:color w:val="232020"/>
        </w:rPr>
        <w:t>overlook</w:t>
      </w:r>
      <w:r>
        <w:rPr>
          <w:color w:val="232020"/>
          <w:spacing w:val="40"/>
        </w:rPr>
        <w:t> </w:t>
      </w:r>
      <w:r>
        <w:rPr>
          <w:color w:val="232020"/>
        </w:rPr>
        <w:t>the</w:t>
      </w:r>
      <w:r>
        <w:rPr>
          <w:color w:val="232020"/>
          <w:spacing w:val="39"/>
        </w:rPr>
        <w:t> </w:t>
      </w:r>
      <w:r>
        <w:rPr>
          <w:color w:val="232020"/>
        </w:rPr>
        <w:t>fact</w:t>
      </w:r>
      <w:r>
        <w:rPr>
          <w:color w:val="232020"/>
          <w:spacing w:val="40"/>
        </w:rPr>
        <w:t> </w:t>
      </w:r>
      <w:r>
        <w:rPr>
          <w:color w:val="232020"/>
        </w:rPr>
        <w:t>that</w:t>
      </w:r>
      <w:r>
        <w:rPr>
          <w:color w:val="232020"/>
          <w:spacing w:val="40"/>
        </w:rPr>
        <w:t> </w:t>
      </w:r>
      <w:r>
        <w:rPr>
          <w:color w:val="232020"/>
        </w:rPr>
        <w:t>government</w:t>
      </w:r>
      <w:r>
        <w:rPr>
          <w:color w:val="232020"/>
          <w:spacing w:val="40"/>
        </w:rPr>
        <w:t> </w:t>
      </w:r>
      <w:r>
        <w:rPr>
          <w:color w:val="232020"/>
        </w:rPr>
        <w:t>troops</w:t>
      </w:r>
      <w:r>
        <w:rPr>
          <w:color w:val="232020"/>
          <w:spacing w:val="39"/>
        </w:rPr>
        <w:t> </w:t>
      </w:r>
      <w:r>
        <w:rPr>
          <w:color w:val="232020"/>
        </w:rPr>
        <w:t>have</w:t>
      </w:r>
    </w:p>
    <w:p>
      <w:pPr>
        <w:pStyle w:val="BodyText"/>
        <w:spacing w:before="10"/>
        <w:ind w:left="0"/>
        <w:jc w:val="left"/>
        <w:rPr>
          <w:sz w:val="25"/>
        </w:rPr>
      </w:pPr>
    </w:p>
    <w:p>
      <w:pPr>
        <w:pStyle w:val="ListParagraph"/>
        <w:numPr>
          <w:ilvl w:val="0"/>
          <w:numId w:val="3"/>
        </w:numPr>
        <w:tabs>
          <w:tab w:pos="440" w:val="left" w:leader="none"/>
        </w:tabs>
        <w:spacing w:line="213" w:lineRule="auto" w:before="0" w:after="0"/>
        <w:ind w:left="100" w:right="120" w:firstLine="182"/>
        <w:jc w:val="both"/>
        <w:rPr>
          <w:rFonts w:ascii="Adobe Jenson Pro Lt Capt" w:hAnsi="Adobe Jenson Pro Lt Capt"/>
          <w:color w:val="232020"/>
          <w:sz w:val="12"/>
        </w:rPr>
      </w:pPr>
      <w:r>
        <w:rPr>
          <w:color w:val="232020"/>
          <w:sz w:val="15"/>
        </w:rPr>
        <w:t>UN</w:t>
      </w:r>
      <w:r>
        <w:rPr>
          <w:color w:val="232020"/>
          <w:spacing w:val="-9"/>
          <w:sz w:val="15"/>
        </w:rPr>
        <w:t> </w:t>
      </w:r>
      <w:r>
        <w:rPr>
          <w:color w:val="232020"/>
          <w:sz w:val="15"/>
        </w:rPr>
        <w:t>Office</w:t>
      </w:r>
      <w:r>
        <w:rPr>
          <w:color w:val="232020"/>
          <w:spacing w:val="-9"/>
          <w:sz w:val="15"/>
        </w:rPr>
        <w:t> </w:t>
      </w:r>
      <w:r>
        <w:rPr>
          <w:color w:val="232020"/>
          <w:sz w:val="15"/>
        </w:rPr>
        <w:t>of</w:t>
      </w:r>
      <w:r>
        <w:rPr>
          <w:color w:val="232020"/>
          <w:spacing w:val="-9"/>
          <w:sz w:val="15"/>
        </w:rPr>
        <w:t> </w:t>
      </w:r>
      <w:r>
        <w:rPr>
          <w:color w:val="232020"/>
          <w:sz w:val="15"/>
        </w:rPr>
        <w:t>the</w:t>
      </w:r>
      <w:r>
        <w:rPr>
          <w:color w:val="232020"/>
          <w:spacing w:val="-9"/>
          <w:sz w:val="15"/>
        </w:rPr>
        <w:t> </w:t>
      </w:r>
      <w:r>
        <w:rPr>
          <w:color w:val="232020"/>
          <w:sz w:val="15"/>
        </w:rPr>
        <w:t>Coordination</w:t>
      </w:r>
      <w:r>
        <w:rPr>
          <w:color w:val="232020"/>
          <w:spacing w:val="-8"/>
          <w:sz w:val="15"/>
        </w:rPr>
        <w:t> </w:t>
      </w:r>
      <w:r>
        <w:rPr>
          <w:color w:val="232020"/>
          <w:sz w:val="15"/>
        </w:rPr>
        <w:t>of</w:t>
      </w:r>
      <w:r>
        <w:rPr>
          <w:color w:val="232020"/>
          <w:spacing w:val="-9"/>
          <w:sz w:val="15"/>
        </w:rPr>
        <w:t> </w:t>
      </w:r>
      <w:r>
        <w:rPr>
          <w:color w:val="232020"/>
          <w:sz w:val="15"/>
        </w:rPr>
        <w:t>Humanitarian</w:t>
      </w:r>
      <w:r>
        <w:rPr>
          <w:color w:val="232020"/>
          <w:spacing w:val="-9"/>
          <w:sz w:val="15"/>
        </w:rPr>
        <w:t> </w:t>
      </w:r>
      <w:r>
        <w:rPr>
          <w:color w:val="232020"/>
          <w:sz w:val="15"/>
        </w:rPr>
        <w:t>Affairs,</w:t>
      </w:r>
      <w:r>
        <w:rPr>
          <w:color w:val="232020"/>
          <w:spacing w:val="-9"/>
          <w:sz w:val="15"/>
        </w:rPr>
        <w:t> </w:t>
      </w:r>
      <w:r>
        <w:rPr>
          <w:color w:val="232020"/>
          <w:sz w:val="15"/>
        </w:rPr>
        <w:t>‘Chronology</w:t>
      </w:r>
      <w:r>
        <w:rPr>
          <w:color w:val="232020"/>
          <w:spacing w:val="-9"/>
          <w:sz w:val="15"/>
        </w:rPr>
        <w:t> </w:t>
      </w:r>
      <w:r>
        <w:rPr>
          <w:color w:val="232020"/>
          <w:sz w:val="15"/>
        </w:rPr>
        <w:t>of</w:t>
      </w:r>
      <w:r>
        <w:rPr>
          <w:color w:val="232020"/>
          <w:spacing w:val="-8"/>
          <w:sz w:val="15"/>
        </w:rPr>
        <w:t> </w:t>
      </w:r>
      <w:r>
        <w:rPr>
          <w:color w:val="232020"/>
          <w:sz w:val="15"/>
        </w:rPr>
        <w:t>protection</w:t>
      </w:r>
      <w:r>
        <w:rPr>
          <w:color w:val="232020"/>
          <w:spacing w:val="-9"/>
          <w:sz w:val="15"/>
        </w:rPr>
        <w:t> </w:t>
      </w:r>
      <w:r>
        <w:rPr>
          <w:color w:val="232020"/>
          <w:sz w:val="15"/>
        </w:rPr>
        <w:t>of</w:t>
      </w:r>
      <w:r>
        <w:rPr>
          <w:color w:val="232020"/>
          <w:spacing w:val="-9"/>
          <w:sz w:val="15"/>
        </w:rPr>
        <w:t> </w:t>
      </w:r>
      <w:r>
        <w:rPr>
          <w:color w:val="232020"/>
          <w:sz w:val="15"/>
        </w:rPr>
        <w:t>civilians in</w:t>
      </w:r>
      <w:r>
        <w:rPr>
          <w:color w:val="232020"/>
          <w:spacing w:val="-10"/>
          <w:sz w:val="15"/>
        </w:rPr>
        <w:t> </w:t>
      </w:r>
      <w:r>
        <w:rPr>
          <w:color w:val="232020"/>
          <w:sz w:val="15"/>
        </w:rPr>
        <w:t>armed</w:t>
      </w:r>
      <w:r>
        <w:rPr>
          <w:color w:val="232020"/>
          <w:spacing w:val="-10"/>
          <w:sz w:val="15"/>
        </w:rPr>
        <w:t> </w:t>
      </w:r>
      <w:r>
        <w:rPr>
          <w:color w:val="232020"/>
          <w:sz w:val="15"/>
        </w:rPr>
        <w:t>conﬂict</w:t>
      </w:r>
      <w:r>
        <w:rPr>
          <w:color w:val="232020"/>
          <w:spacing w:val="-10"/>
          <w:sz w:val="15"/>
        </w:rPr>
        <w:t> </w:t>
      </w:r>
      <w:r>
        <w:rPr>
          <w:color w:val="232020"/>
          <w:sz w:val="15"/>
        </w:rPr>
        <w:t>in</w:t>
      </w:r>
      <w:r>
        <w:rPr>
          <w:color w:val="232020"/>
          <w:spacing w:val="-10"/>
          <w:sz w:val="15"/>
        </w:rPr>
        <w:t> </w:t>
      </w:r>
      <w:r>
        <w:rPr>
          <w:color w:val="232020"/>
          <w:sz w:val="15"/>
        </w:rPr>
        <w:t>the</w:t>
      </w:r>
      <w:r>
        <w:rPr>
          <w:color w:val="232020"/>
          <w:spacing w:val="-9"/>
          <w:sz w:val="15"/>
        </w:rPr>
        <w:t> </w:t>
      </w:r>
      <w:r>
        <w:rPr>
          <w:color w:val="232020"/>
          <w:sz w:val="15"/>
        </w:rPr>
        <w:t>UN’,</w:t>
      </w:r>
      <w:r>
        <w:rPr>
          <w:color w:val="232020"/>
          <w:spacing w:val="-10"/>
          <w:sz w:val="15"/>
        </w:rPr>
        <w:t> </w:t>
      </w:r>
      <w:r>
        <w:rPr>
          <w:color w:val="232020"/>
          <w:sz w:val="15"/>
        </w:rPr>
        <w:t>available</w:t>
      </w:r>
      <w:r>
        <w:rPr>
          <w:color w:val="232020"/>
          <w:spacing w:val="-10"/>
          <w:sz w:val="15"/>
        </w:rPr>
        <w:t> </w:t>
      </w:r>
      <w:r>
        <w:rPr>
          <w:color w:val="232020"/>
          <w:sz w:val="15"/>
        </w:rPr>
        <w:t>at</w:t>
      </w:r>
      <w:r>
        <w:rPr>
          <w:color w:val="232020"/>
          <w:spacing w:val="-10"/>
          <w:sz w:val="15"/>
        </w:rPr>
        <w:t> </w:t>
      </w:r>
      <w:hyperlink r:id="rId30">
        <w:r>
          <w:rPr>
            <w:color w:val="232020"/>
            <w:sz w:val="15"/>
          </w:rPr>
          <w:t>&lt;http://ochaonline.un.org/&gt;.</w:t>
        </w:r>
        <w:r>
          <w:rPr>
            <w:color w:val="232020"/>
            <w:spacing w:val="-10"/>
            <w:sz w:val="15"/>
          </w:rPr>
          <w:t> </w:t>
        </w:r>
      </w:hyperlink>
      <w:r>
        <w:rPr>
          <w:color w:val="232020"/>
          <w:sz w:val="15"/>
        </w:rPr>
        <w:t>See</w:t>
      </w:r>
      <w:r>
        <w:rPr>
          <w:color w:val="232020"/>
          <w:spacing w:val="-9"/>
          <w:sz w:val="15"/>
        </w:rPr>
        <w:t> </w:t>
      </w:r>
      <w:r>
        <w:rPr>
          <w:color w:val="232020"/>
          <w:sz w:val="15"/>
        </w:rPr>
        <w:t>also</w:t>
      </w:r>
      <w:r>
        <w:rPr>
          <w:color w:val="232020"/>
          <w:spacing w:val="-10"/>
          <w:sz w:val="15"/>
        </w:rPr>
        <w:t> </w:t>
      </w:r>
      <w:r>
        <w:rPr>
          <w:color w:val="232020"/>
          <w:sz w:val="15"/>
        </w:rPr>
        <w:t>the</w:t>
      </w:r>
      <w:r>
        <w:rPr>
          <w:color w:val="232020"/>
          <w:spacing w:val="-10"/>
          <w:sz w:val="15"/>
        </w:rPr>
        <w:t> </w:t>
      </w:r>
      <w:r>
        <w:rPr>
          <w:color w:val="232020"/>
          <w:sz w:val="15"/>
        </w:rPr>
        <w:t>reports</w:t>
      </w:r>
      <w:r>
        <w:rPr>
          <w:color w:val="232020"/>
          <w:spacing w:val="-10"/>
          <w:sz w:val="15"/>
        </w:rPr>
        <w:t> </w:t>
      </w:r>
      <w:r>
        <w:rPr>
          <w:color w:val="232020"/>
          <w:sz w:val="15"/>
        </w:rPr>
        <w:t>of</w:t>
      </w:r>
      <w:r>
        <w:rPr>
          <w:color w:val="232020"/>
          <w:spacing w:val="-10"/>
          <w:sz w:val="15"/>
        </w:rPr>
        <w:t> </w:t>
      </w:r>
      <w:r>
        <w:rPr>
          <w:color w:val="232020"/>
          <w:sz w:val="15"/>
        </w:rPr>
        <w:t>the</w:t>
      </w:r>
      <w:r>
        <w:rPr>
          <w:color w:val="232020"/>
          <w:spacing w:val="-9"/>
          <w:sz w:val="15"/>
        </w:rPr>
        <w:t> </w:t>
      </w:r>
      <w:r>
        <w:rPr>
          <w:color w:val="232020"/>
          <w:sz w:val="15"/>
        </w:rPr>
        <w:t>UN Secretary-General—the</w:t>
      </w:r>
      <w:r>
        <w:rPr>
          <w:color w:val="232020"/>
          <w:spacing w:val="-7"/>
          <w:sz w:val="15"/>
        </w:rPr>
        <w:t> </w:t>
      </w:r>
      <w:r>
        <w:rPr>
          <w:color w:val="232020"/>
          <w:sz w:val="15"/>
        </w:rPr>
        <w:t>most</w:t>
      </w:r>
      <w:r>
        <w:rPr>
          <w:color w:val="232020"/>
          <w:spacing w:val="-7"/>
          <w:sz w:val="15"/>
        </w:rPr>
        <w:t> </w:t>
      </w:r>
      <w:r>
        <w:rPr>
          <w:color w:val="232020"/>
          <w:sz w:val="15"/>
        </w:rPr>
        <w:t>recent</w:t>
      </w:r>
      <w:r>
        <w:rPr>
          <w:color w:val="232020"/>
          <w:spacing w:val="-7"/>
          <w:sz w:val="15"/>
        </w:rPr>
        <w:t> </w:t>
      </w:r>
      <w:r>
        <w:rPr>
          <w:color w:val="232020"/>
          <w:sz w:val="15"/>
        </w:rPr>
        <w:t>is</w:t>
      </w:r>
      <w:r>
        <w:rPr>
          <w:color w:val="232020"/>
          <w:spacing w:val="-7"/>
          <w:sz w:val="15"/>
        </w:rPr>
        <w:t> </w:t>
      </w:r>
      <w:r>
        <w:rPr>
          <w:color w:val="232020"/>
          <w:sz w:val="15"/>
        </w:rPr>
        <w:t>UN</w:t>
      </w:r>
      <w:r>
        <w:rPr>
          <w:color w:val="232020"/>
          <w:spacing w:val="-7"/>
          <w:sz w:val="15"/>
        </w:rPr>
        <w:t> </w:t>
      </w:r>
      <w:r>
        <w:rPr>
          <w:color w:val="232020"/>
          <w:sz w:val="15"/>
        </w:rPr>
        <w:t>Security</w:t>
      </w:r>
      <w:r>
        <w:rPr>
          <w:color w:val="232020"/>
          <w:spacing w:val="-7"/>
          <w:sz w:val="15"/>
        </w:rPr>
        <w:t> </w:t>
      </w:r>
      <w:r>
        <w:rPr>
          <w:color w:val="232020"/>
          <w:sz w:val="15"/>
        </w:rPr>
        <w:t>Council,</w:t>
      </w:r>
      <w:r>
        <w:rPr>
          <w:color w:val="232020"/>
          <w:spacing w:val="-7"/>
          <w:sz w:val="15"/>
        </w:rPr>
        <w:t> </w:t>
      </w:r>
      <w:r>
        <w:rPr>
          <w:color w:val="232020"/>
          <w:sz w:val="15"/>
        </w:rPr>
        <w:t>Report</w:t>
      </w:r>
      <w:r>
        <w:rPr>
          <w:color w:val="232020"/>
          <w:spacing w:val="-7"/>
          <w:sz w:val="15"/>
        </w:rPr>
        <w:t> </w:t>
      </w:r>
      <w:r>
        <w:rPr>
          <w:color w:val="232020"/>
          <w:sz w:val="15"/>
        </w:rPr>
        <w:t>of</w:t>
      </w:r>
      <w:r>
        <w:rPr>
          <w:color w:val="232020"/>
          <w:spacing w:val="-7"/>
          <w:sz w:val="15"/>
        </w:rPr>
        <w:t> </w:t>
      </w:r>
      <w:r>
        <w:rPr>
          <w:color w:val="232020"/>
          <w:sz w:val="15"/>
        </w:rPr>
        <w:t>the</w:t>
      </w:r>
      <w:r>
        <w:rPr>
          <w:color w:val="232020"/>
          <w:spacing w:val="-7"/>
          <w:sz w:val="15"/>
        </w:rPr>
        <w:t> </w:t>
      </w:r>
      <w:r>
        <w:rPr>
          <w:color w:val="232020"/>
          <w:sz w:val="15"/>
        </w:rPr>
        <w:t>Secretary-General</w:t>
      </w:r>
      <w:r>
        <w:rPr>
          <w:color w:val="232020"/>
          <w:spacing w:val="-7"/>
          <w:sz w:val="15"/>
        </w:rPr>
        <w:t> </w:t>
      </w:r>
      <w:r>
        <w:rPr>
          <w:color w:val="232020"/>
          <w:sz w:val="15"/>
        </w:rPr>
        <w:t>on</w:t>
      </w:r>
      <w:r>
        <w:rPr>
          <w:color w:val="232020"/>
          <w:spacing w:val="-7"/>
          <w:sz w:val="15"/>
        </w:rPr>
        <w:t> </w:t>
      </w:r>
      <w:r>
        <w:rPr>
          <w:color w:val="232020"/>
          <w:sz w:val="15"/>
        </w:rPr>
        <w:t>the protection</w:t>
      </w:r>
      <w:r>
        <w:rPr>
          <w:color w:val="232020"/>
          <w:spacing w:val="-4"/>
          <w:sz w:val="15"/>
        </w:rPr>
        <w:t> </w:t>
      </w:r>
      <w:r>
        <w:rPr>
          <w:color w:val="232020"/>
          <w:sz w:val="15"/>
        </w:rPr>
        <w:t>of</w:t>
      </w:r>
      <w:r>
        <w:rPr>
          <w:color w:val="232020"/>
          <w:spacing w:val="-4"/>
          <w:sz w:val="15"/>
        </w:rPr>
        <w:t> </w:t>
      </w:r>
      <w:r>
        <w:rPr>
          <w:color w:val="232020"/>
          <w:sz w:val="15"/>
        </w:rPr>
        <w:t>civilians</w:t>
      </w:r>
      <w:r>
        <w:rPr>
          <w:color w:val="232020"/>
          <w:spacing w:val="-4"/>
          <w:sz w:val="15"/>
        </w:rPr>
        <w:t> </w:t>
      </w:r>
      <w:r>
        <w:rPr>
          <w:color w:val="232020"/>
          <w:sz w:val="15"/>
        </w:rPr>
        <w:t>in</w:t>
      </w:r>
      <w:r>
        <w:rPr>
          <w:color w:val="232020"/>
          <w:spacing w:val="-4"/>
          <w:sz w:val="15"/>
        </w:rPr>
        <w:t> </w:t>
      </w:r>
      <w:r>
        <w:rPr>
          <w:color w:val="232020"/>
          <w:sz w:val="15"/>
        </w:rPr>
        <w:t>armed</w:t>
      </w:r>
      <w:r>
        <w:rPr>
          <w:color w:val="232020"/>
          <w:spacing w:val="-4"/>
          <w:sz w:val="15"/>
        </w:rPr>
        <w:t> </w:t>
      </w:r>
      <w:r>
        <w:rPr>
          <w:color w:val="232020"/>
          <w:sz w:val="15"/>
        </w:rPr>
        <w:t>conﬂict,</w:t>
      </w:r>
      <w:r>
        <w:rPr>
          <w:color w:val="232020"/>
          <w:spacing w:val="-4"/>
          <w:sz w:val="15"/>
        </w:rPr>
        <w:t> </w:t>
      </w:r>
      <w:r>
        <w:rPr>
          <w:color w:val="232020"/>
          <w:sz w:val="15"/>
        </w:rPr>
        <w:t>S/2007/643,</w:t>
      </w:r>
      <w:r>
        <w:rPr>
          <w:color w:val="232020"/>
          <w:spacing w:val="-4"/>
          <w:sz w:val="15"/>
        </w:rPr>
        <w:t> </w:t>
      </w:r>
      <w:r>
        <w:rPr>
          <w:color w:val="232020"/>
          <w:sz w:val="15"/>
        </w:rPr>
        <w:t>28</w:t>
      </w:r>
      <w:r>
        <w:rPr>
          <w:color w:val="232020"/>
          <w:spacing w:val="-3"/>
          <w:sz w:val="15"/>
        </w:rPr>
        <w:t> </w:t>
      </w:r>
      <w:r>
        <w:rPr>
          <w:color w:val="232020"/>
          <w:sz w:val="15"/>
        </w:rPr>
        <w:t>Oct.</w:t>
      </w:r>
      <w:r>
        <w:rPr>
          <w:color w:val="232020"/>
          <w:spacing w:val="-4"/>
          <w:sz w:val="15"/>
        </w:rPr>
        <w:t> </w:t>
      </w:r>
      <w:r>
        <w:rPr>
          <w:color w:val="232020"/>
          <w:sz w:val="15"/>
        </w:rPr>
        <w:t>2007.</w:t>
      </w:r>
    </w:p>
    <w:p>
      <w:pPr>
        <w:pStyle w:val="ListParagraph"/>
        <w:numPr>
          <w:ilvl w:val="0"/>
          <w:numId w:val="3"/>
        </w:numPr>
        <w:tabs>
          <w:tab w:pos="440" w:val="left" w:leader="none"/>
        </w:tabs>
        <w:spacing w:line="213" w:lineRule="auto" w:before="0" w:after="0"/>
        <w:ind w:left="100" w:right="120" w:firstLine="182"/>
        <w:jc w:val="both"/>
        <w:rPr>
          <w:rFonts w:ascii="Adobe Jenson Pro Lt Capt" w:hAnsi="Adobe Jenson Pro Lt Capt"/>
          <w:color w:val="232020"/>
          <w:sz w:val="12"/>
        </w:rPr>
      </w:pPr>
      <w:r>
        <w:rPr>
          <w:color w:val="232020"/>
          <w:sz w:val="15"/>
        </w:rPr>
        <w:t>O’Neill, W. G., </w:t>
      </w:r>
      <w:r>
        <w:rPr>
          <w:i/>
          <w:color w:val="232020"/>
          <w:sz w:val="15"/>
        </w:rPr>
        <w:t>A New Challenge for Peacekeepers: The Internally Displaced</w:t>
      </w:r>
      <w:r>
        <w:rPr>
          <w:color w:val="232020"/>
          <w:sz w:val="15"/>
        </w:rPr>
        <w:t>, Brookings Insti- tution–Johns Hopkins SAIS Project on Internal Displacement Occasional Paper (Brookings Insti- tution–SAIS</w:t>
      </w:r>
      <w:r>
        <w:rPr>
          <w:color w:val="232020"/>
          <w:spacing w:val="-8"/>
          <w:sz w:val="15"/>
        </w:rPr>
        <w:t> </w:t>
      </w:r>
      <w:r>
        <w:rPr>
          <w:color w:val="232020"/>
          <w:sz w:val="15"/>
        </w:rPr>
        <w:t>Project</w:t>
      </w:r>
      <w:r>
        <w:rPr>
          <w:color w:val="232020"/>
          <w:spacing w:val="-8"/>
          <w:sz w:val="15"/>
        </w:rPr>
        <w:t> </w:t>
      </w:r>
      <w:r>
        <w:rPr>
          <w:color w:val="232020"/>
          <w:sz w:val="15"/>
        </w:rPr>
        <w:t>on</w:t>
      </w:r>
      <w:r>
        <w:rPr>
          <w:color w:val="232020"/>
          <w:spacing w:val="-8"/>
          <w:sz w:val="15"/>
        </w:rPr>
        <w:t> </w:t>
      </w:r>
      <w:r>
        <w:rPr>
          <w:color w:val="232020"/>
          <w:sz w:val="15"/>
        </w:rPr>
        <w:t>Internal</w:t>
      </w:r>
      <w:r>
        <w:rPr>
          <w:color w:val="232020"/>
          <w:spacing w:val="-8"/>
          <w:sz w:val="15"/>
        </w:rPr>
        <w:t> </w:t>
      </w:r>
      <w:r>
        <w:rPr>
          <w:color w:val="232020"/>
          <w:sz w:val="15"/>
        </w:rPr>
        <w:t>Displacement:</w:t>
      </w:r>
      <w:r>
        <w:rPr>
          <w:color w:val="232020"/>
          <w:spacing w:val="-7"/>
          <w:sz w:val="15"/>
        </w:rPr>
        <w:t> </w:t>
      </w:r>
      <w:r>
        <w:rPr>
          <w:color w:val="232020"/>
          <w:sz w:val="15"/>
        </w:rPr>
        <w:t>Washington,</w:t>
      </w:r>
      <w:r>
        <w:rPr>
          <w:color w:val="232020"/>
          <w:spacing w:val="-8"/>
          <w:sz w:val="15"/>
        </w:rPr>
        <w:t> </w:t>
      </w:r>
      <w:r>
        <w:rPr>
          <w:color w:val="232020"/>
          <w:sz w:val="15"/>
        </w:rPr>
        <w:t>DC,</w:t>
      </w:r>
      <w:r>
        <w:rPr>
          <w:color w:val="232020"/>
          <w:spacing w:val="-8"/>
          <w:sz w:val="15"/>
        </w:rPr>
        <w:t> </w:t>
      </w:r>
      <w:r>
        <w:rPr>
          <w:color w:val="232020"/>
          <w:sz w:val="15"/>
        </w:rPr>
        <w:t>Apr.</w:t>
      </w:r>
      <w:r>
        <w:rPr>
          <w:color w:val="232020"/>
          <w:spacing w:val="-8"/>
          <w:sz w:val="15"/>
        </w:rPr>
        <w:t> </w:t>
      </w:r>
      <w:r>
        <w:rPr>
          <w:color w:val="232020"/>
          <w:sz w:val="15"/>
        </w:rPr>
        <w:t>2004);</w:t>
      </w:r>
      <w:r>
        <w:rPr>
          <w:color w:val="232020"/>
          <w:spacing w:val="-8"/>
          <w:sz w:val="15"/>
        </w:rPr>
        <w:t> </w:t>
      </w:r>
      <w:r>
        <w:rPr>
          <w:color w:val="232020"/>
          <w:sz w:val="15"/>
        </w:rPr>
        <w:t>and</w:t>
      </w:r>
      <w:r>
        <w:rPr>
          <w:color w:val="232020"/>
          <w:spacing w:val="-7"/>
          <w:sz w:val="15"/>
        </w:rPr>
        <w:t> </w:t>
      </w:r>
      <w:r>
        <w:rPr>
          <w:color w:val="232020"/>
          <w:sz w:val="15"/>
        </w:rPr>
        <w:t>O’Neill,</w:t>
      </w:r>
      <w:r>
        <w:rPr>
          <w:color w:val="232020"/>
          <w:spacing w:val="-8"/>
          <w:sz w:val="15"/>
        </w:rPr>
        <w:t> </w:t>
      </w:r>
      <w:r>
        <w:rPr>
          <w:color w:val="232020"/>
          <w:sz w:val="15"/>
        </w:rPr>
        <w:t>W.</w:t>
      </w:r>
      <w:r>
        <w:rPr>
          <w:color w:val="232020"/>
          <w:spacing w:val="-8"/>
          <w:sz w:val="15"/>
        </w:rPr>
        <w:t> </w:t>
      </w:r>
      <w:r>
        <w:rPr>
          <w:color w:val="232020"/>
          <w:sz w:val="15"/>
        </w:rPr>
        <w:t>G.</w:t>
      </w:r>
      <w:r>
        <w:rPr>
          <w:color w:val="232020"/>
          <w:spacing w:val="-8"/>
          <w:sz w:val="15"/>
        </w:rPr>
        <w:t> </w:t>
      </w:r>
      <w:r>
        <w:rPr>
          <w:color w:val="232020"/>
          <w:sz w:val="15"/>
        </w:rPr>
        <w:t>and Cassis, V., </w:t>
      </w:r>
      <w:r>
        <w:rPr>
          <w:i/>
          <w:color w:val="232020"/>
          <w:sz w:val="15"/>
        </w:rPr>
        <w:t>Protecting Two Million Internally Displaced: The Successes and Shortcomings of the African </w:t>
      </w:r>
      <w:r>
        <w:rPr>
          <w:i/>
          <w:color w:val="232020"/>
          <w:sz w:val="15"/>
        </w:rPr>
        <w:t>Union in Darfur</w:t>
      </w:r>
      <w:r>
        <w:rPr>
          <w:color w:val="232020"/>
          <w:sz w:val="15"/>
        </w:rPr>
        <w:t>, Brookings–Bern Project on Internal Displacement Occasional Paper (Brookings– Bern</w:t>
      </w:r>
      <w:r>
        <w:rPr>
          <w:color w:val="232020"/>
          <w:spacing w:val="-6"/>
          <w:sz w:val="15"/>
        </w:rPr>
        <w:t> </w:t>
      </w:r>
      <w:r>
        <w:rPr>
          <w:color w:val="232020"/>
          <w:sz w:val="15"/>
        </w:rPr>
        <w:t>Project</w:t>
      </w:r>
      <w:r>
        <w:rPr>
          <w:color w:val="232020"/>
          <w:spacing w:val="-5"/>
          <w:sz w:val="15"/>
        </w:rPr>
        <w:t> </w:t>
      </w:r>
      <w:r>
        <w:rPr>
          <w:color w:val="232020"/>
          <w:sz w:val="15"/>
        </w:rPr>
        <w:t>on</w:t>
      </w:r>
      <w:r>
        <w:rPr>
          <w:color w:val="232020"/>
          <w:spacing w:val="-5"/>
          <w:sz w:val="15"/>
        </w:rPr>
        <w:t> </w:t>
      </w:r>
      <w:r>
        <w:rPr>
          <w:color w:val="232020"/>
          <w:sz w:val="15"/>
        </w:rPr>
        <w:t>Internal</w:t>
      </w:r>
      <w:r>
        <w:rPr>
          <w:color w:val="232020"/>
          <w:spacing w:val="-5"/>
          <w:sz w:val="15"/>
        </w:rPr>
        <w:t> </w:t>
      </w:r>
      <w:r>
        <w:rPr>
          <w:color w:val="232020"/>
          <w:sz w:val="15"/>
        </w:rPr>
        <w:t>Displacement:</w:t>
      </w:r>
      <w:r>
        <w:rPr>
          <w:color w:val="232020"/>
          <w:spacing w:val="-5"/>
          <w:sz w:val="15"/>
        </w:rPr>
        <w:t> </w:t>
      </w:r>
      <w:r>
        <w:rPr>
          <w:color w:val="232020"/>
          <w:sz w:val="15"/>
        </w:rPr>
        <w:t>Washington,</w:t>
      </w:r>
      <w:r>
        <w:rPr>
          <w:color w:val="232020"/>
          <w:spacing w:val="-5"/>
          <w:sz w:val="15"/>
        </w:rPr>
        <w:t> </w:t>
      </w:r>
      <w:r>
        <w:rPr>
          <w:color w:val="232020"/>
          <w:sz w:val="15"/>
        </w:rPr>
        <w:t>DC,</w:t>
      </w:r>
      <w:r>
        <w:rPr>
          <w:color w:val="232020"/>
          <w:spacing w:val="-5"/>
          <w:sz w:val="15"/>
        </w:rPr>
        <w:t> </w:t>
      </w:r>
      <w:r>
        <w:rPr>
          <w:color w:val="232020"/>
          <w:sz w:val="15"/>
        </w:rPr>
        <w:t>Nov.</w:t>
      </w:r>
      <w:r>
        <w:rPr>
          <w:color w:val="232020"/>
          <w:spacing w:val="-5"/>
          <w:sz w:val="15"/>
        </w:rPr>
        <w:t> </w:t>
      </w:r>
      <w:r>
        <w:rPr>
          <w:color w:val="232020"/>
          <w:sz w:val="15"/>
        </w:rPr>
        <w:t>2005).</w:t>
      </w:r>
    </w:p>
    <w:p>
      <w:pPr>
        <w:pStyle w:val="ListParagraph"/>
        <w:numPr>
          <w:ilvl w:val="0"/>
          <w:numId w:val="3"/>
        </w:numPr>
        <w:tabs>
          <w:tab w:pos="440" w:val="left" w:leader="none"/>
        </w:tabs>
        <w:spacing w:line="213" w:lineRule="auto" w:before="0" w:after="0"/>
        <w:ind w:left="100" w:right="120" w:firstLine="182"/>
        <w:jc w:val="both"/>
        <w:rPr>
          <w:rFonts w:ascii="Adobe Jenson Pro Lt Capt" w:hAnsi="Adobe Jenson Pro Lt Capt"/>
          <w:color w:val="232020"/>
          <w:sz w:val="12"/>
        </w:rPr>
      </w:pPr>
      <w:r>
        <w:rPr>
          <w:color w:val="232020"/>
          <w:sz w:val="15"/>
        </w:rPr>
        <w:t>See e.g. African Union/UN Hybrid Mission in Darfur (UNAMID), ‘Secretary-General Ban reports</w:t>
      </w:r>
      <w:r>
        <w:rPr>
          <w:color w:val="232020"/>
          <w:spacing w:val="-12"/>
          <w:sz w:val="15"/>
        </w:rPr>
        <w:t> </w:t>
      </w:r>
      <w:r>
        <w:rPr>
          <w:color w:val="232020"/>
          <w:sz w:val="15"/>
        </w:rPr>
        <w:t>to</w:t>
      </w:r>
      <w:r>
        <w:rPr>
          <w:color w:val="232020"/>
          <w:spacing w:val="-11"/>
          <w:sz w:val="15"/>
        </w:rPr>
        <w:t> </w:t>
      </w:r>
      <w:r>
        <w:rPr>
          <w:color w:val="232020"/>
          <w:sz w:val="15"/>
        </w:rPr>
        <w:t>Security</w:t>
      </w:r>
      <w:r>
        <w:rPr>
          <w:color w:val="232020"/>
          <w:spacing w:val="-12"/>
          <w:sz w:val="15"/>
        </w:rPr>
        <w:t> </w:t>
      </w:r>
      <w:r>
        <w:rPr>
          <w:color w:val="232020"/>
          <w:sz w:val="15"/>
        </w:rPr>
        <w:t>Council</w:t>
      </w:r>
      <w:r>
        <w:rPr>
          <w:color w:val="232020"/>
          <w:spacing w:val="-11"/>
          <w:sz w:val="15"/>
        </w:rPr>
        <w:t> </w:t>
      </w:r>
      <w:r>
        <w:rPr>
          <w:color w:val="232020"/>
          <w:sz w:val="15"/>
        </w:rPr>
        <w:t>on</w:t>
      </w:r>
      <w:r>
        <w:rPr>
          <w:color w:val="232020"/>
          <w:spacing w:val="-11"/>
          <w:sz w:val="15"/>
        </w:rPr>
        <w:t> </w:t>
      </w:r>
      <w:r>
        <w:rPr>
          <w:color w:val="232020"/>
          <w:sz w:val="15"/>
        </w:rPr>
        <w:t>UNAMID</w:t>
      </w:r>
      <w:r>
        <w:rPr>
          <w:color w:val="232020"/>
          <w:spacing w:val="-12"/>
          <w:sz w:val="15"/>
        </w:rPr>
        <w:t> </w:t>
      </w:r>
      <w:r>
        <w:rPr>
          <w:color w:val="232020"/>
          <w:sz w:val="15"/>
        </w:rPr>
        <w:t>deployment’,</w:t>
      </w:r>
      <w:r>
        <w:rPr>
          <w:color w:val="232020"/>
          <w:spacing w:val="-11"/>
          <w:sz w:val="15"/>
        </w:rPr>
        <w:t> </w:t>
      </w:r>
      <w:r>
        <w:rPr>
          <w:color w:val="232020"/>
          <w:sz w:val="15"/>
        </w:rPr>
        <w:t>ReliefWeb,</w:t>
      </w:r>
      <w:r>
        <w:rPr>
          <w:color w:val="232020"/>
          <w:spacing w:val="-11"/>
          <w:sz w:val="15"/>
        </w:rPr>
        <w:t> </w:t>
      </w:r>
      <w:r>
        <w:rPr>
          <w:color w:val="232020"/>
          <w:sz w:val="15"/>
        </w:rPr>
        <w:t>28</w:t>
      </w:r>
      <w:r>
        <w:rPr>
          <w:color w:val="232020"/>
          <w:spacing w:val="-12"/>
          <w:sz w:val="15"/>
        </w:rPr>
        <w:t> </w:t>
      </w:r>
      <w:r>
        <w:rPr>
          <w:color w:val="232020"/>
          <w:sz w:val="15"/>
        </w:rPr>
        <w:t>Aug.</w:t>
      </w:r>
      <w:r>
        <w:rPr>
          <w:color w:val="232020"/>
          <w:spacing w:val="-11"/>
          <w:sz w:val="15"/>
        </w:rPr>
        <w:t> </w:t>
      </w:r>
      <w:r>
        <w:rPr>
          <w:color w:val="232020"/>
          <w:sz w:val="15"/>
        </w:rPr>
        <w:t>2008,</w:t>
      </w:r>
      <w:r>
        <w:rPr>
          <w:color w:val="232020"/>
          <w:spacing w:val="-12"/>
          <w:sz w:val="15"/>
        </w:rPr>
        <w:t> </w:t>
      </w:r>
      <w:r>
        <w:rPr>
          <w:color w:val="232020"/>
          <w:sz w:val="15"/>
        </w:rPr>
        <w:t>&lt;http://www.relief web.int/rw/rwb.nsf/db900sid/YSAR-7HXR53&gt;; UN Integrated Regional Information Network (IRIN),</w:t>
      </w:r>
      <w:r>
        <w:rPr>
          <w:color w:val="232020"/>
          <w:spacing w:val="-13"/>
          <w:sz w:val="15"/>
        </w:rPr>
        <w:t> </w:t>
      </w:r>
      <w:r>
        <w:rPr>
          <w:color w:val="232020"/>
          <w:sz w:val="15"/>
        </w:rPr>
        <w:t>‘Helicopters</w:t>
      </w:r>
      <w:r>
        <w:rPr>
          <w:color w:val="232020"/>
          <w:spacing w:val="-13"/>
          <w:sz w:val="15"/>
        </w:rPr>
        <w:t> </w:t>
      </w:r>
      <w:r>
        <w:rPr>
          <w:color w:val="232020"/>
          <w:sz w:val="15"/>
        </w:rPr>
        <w:t>top</w:t>
      </w:r>
      <w:r>
        <w:rPr>
          <w:color w:val="232020"/>
          <w:spacing w:val="-13"/>
          <w:sz w:val="15"/>
        </w:rPr>
        <w:t> </w:t>
      </w:r>
      <w:r>
        <w:rPr>
          <w:color w:val="232020"/>
          <w:sz w:val="15"/>
        </w:rPr>
        <w:t>list</w:t>
      </w:r>
      <w:r>
        <w:rPr>
          <w:color w:val="232020"/>
          <w:spacing w:val="-13"/>
          <w:sz w:val="15"/>
        </w:rPr>
        <w:t> </w:t>
      </w:r>
      <w:r>
        <w:rPr>
          <w:color w:val="232020"/>
          <w:sz w:val="15"/>
        </w:rPr>
        <w:t>of</w:t>
      </w:r>
      <w:r>
        <w:rPr>
          <w:color w:val="232020"/>
          <w:spacing w:val="-13"/>
          <w:sz w:val="15"/>
        </w:rPr>
        <w:t> </w:t>
      </w:r>
      <w:r>
        <w:rPr>
          <w:color w:val="232020"/>
          <w:sz w:val="15"/>
        </w:rPr>
        <w:t>“shameful”</w:t>
      </w:r>
      <w:r>
        <w:rPr>
          <w:color w:val="232020"/>
          <w:spacing w:val="-12"/>
          <w:sz w:val="15"/>
        </w:rPr>
        <w:t> </w:t>
      </w:r>
      <w:r>
        <w:rPr>
          <w:color w:val="232020"/>
          <w:sz w:val="15"/>
        </w:rPr>
        <w:t>missing</w:t>
      </w:r>
      <w:r>
        <w:rPr>
          <w:color w:val="232020"/>
          <w:spacing w:val="-13"/>
          <w:sz w:val="15"/>
        </w:rPr>
        <w:t> </w:t>
      </w:r>
      <w:r>
        <w:rPr>
          <w:color w:val="232020"/>
          <w:sz w:val="15"/>
        </w:rPr>
        <w:t>equipment’,</w:t>
      </w:r>
      <w:r>
        <w:rPr>
          <w:color w:val="232020"/>
          <w:spacing w:val="-13"/>
          <w:sz w:val="15"/>
        </w:rPr>
        <w:t> </w:t>
      </w:r>
      <w:r>
        <w:rPr>
          <w:color w:val="232020"/>
          <w:sz w:val="15"/>
        </w:rPr>
        <w:t>31</w:t>
      </w:r>
      <w:r>
        <w:rPr>
          <w:color w:val="232020"/>
          <w:spacing w:val="-13"/>
          <w:sz w:val="15"/>
        </w:rPr>
        <w:t> </w:t>
      </w:r>
      <w:r>
        <w:rPr>
          <w:color w:val="232020"/>
          <w:sz w:val="15"/>
        </w:rPr>
        <w:t>July</w:t>
      </w:r>
      <w:r>
        <w:rPr>
          <w:color w:val="232020"/>
          <w:spacing w:val="-13"/>
          <w:sz w:val="15"/>
        </w:rPr>
        <w:t> </w:t>
      </w:r>
      <w:r>
        <w:rPr>
          <w:color w:val="232020"/>
          <w:sz w:val="15"/>
        </w:rPr>
        <w:t>2008,</w:t>
      </w:r>
      <w:r>
        <w:rPr>
          <w:color w:val="232020"/>
          <w:spacing w:val="-13"/>
          <w:sz w:val="15"/>
        </w:rPr>
        <w:t> </w:t>
      </w:r>
      <w:r>
        <w:rPr>
          <w:color w:val="232020"/>
          <w:sz w:val="15"/>
        </w:rPr>
        <w:t>&lt;http://www.irinnews. org/report.aspx?ReportID=79551&gt;; and Cohen, R., ‘Disaster standards needed in Asia’, Brookings Northeast Asia Commentary, June 2008, </w:t>
      </w:r>
      <w:hyperlink r:id="rId31">
        <w:r>
          <w:rPr>
            <w:color w:val="232020"/>
            <w:sz w:val="15"/>
          </w:rPr>
          <w:t>&lt;http://www.brookings.edu/opinions/2008/06_disaster_</w:t>
        </w:r>
      </w:hyperlink>
      <w:r>
        <w:rPr>
          <w:color w:val="232020"/>
          <w:sz w:val="15"/>
        </w:rPr>
        <w:t> standards_cohen.aspx&gt;.</w:t>
      </w:r>
    </w:p>
    <w:p>
      <w:pPr>
        <w:pStyle w:val="ListParagraph"/>
        <w:numPr>
          <w:ilvl w:val="0"/>
          <w:numId w:val="3"/>
        </w:numPr>
        <w:tabs>
          <w:tab w:pos="440" w:val="left" w:leader="none"/>
        </w:tabs>
        <w:spacing w:line="216" w:lineRule="auto" w:before="0" w:after="0"/>
        <w:ind w:left="100" w:right="120" w:firstLine="182"/>
        <w:jc w:val="both"/>
        <w:rPr>
          <w:rFonts w:ascii="Adobe Jenson Pro Lt Capt" w:hAnsi="Adobe Jenson Pro Lt Capt"/>
          <w:color w:val="232020"/>
          <w:sz w:val="12"/>
        </w:rPr>
      </w:pPr>
      <w:r>
        <w:rPr>
          <w:color w:val="232020"/>
          <w:sz w:val="15"/>
        </w:rPr>
        <w:t>MONUC,</w:t>
      </w:r>
      <w:r>
        <w:rPr>
          <w:color w:val="232020"/>
          <w:spacing w:val="-3"/>
          <w:sz w:val="15"/>
        </w:rPr>
        <w:t> </w:t>
      </w:r>
      <w:r>
        <w:rPr>
          <w:color w:val="232020"/>
          <w:sz w:val="15"/>
        </w:rPr>
        <w:t>‘UN</w:t>
      </w:r>
      <w:r>
        <w:rPr>
          <w:color w:val="232020"/>
          <w:spacing w:val="-2"/>
          <w:sz w:val="15"/>
        </w:rPr>
        <w:t> </w:t>
      </w:r>
      <w:r>
        <w:rPr>
          <w:color w:val="232020"/>
          <w:sz w:val="15"/>
        </w:rPr>
        <w:t>envoy</w:t>
      </w:r>
      <w:r>
        <w:rPr>
          <w:color w:val="232020"/>
          <w:spacing w:val="-2"/>
          <w:sz w:val="15"/>
        </w:rPr>
        <w:t> </w:t>
      </w:r>
      <w:r>
        <w:rPr>
          <w:color w:val="232020"/>
          <w:sz w:val="15"/>
        </w:rPr>
        <w:t>calls</w:t>
      </w:r>
      <w:r>
        <w:rPr>
          <w:color w:val="232020"/>
          <w:spacing w:val="-2"/>
          <w:sz w:val="15"/>
        </w:rPr>
        <w:t> </w:t>
      </w:r>
      <w:r>
        <w:rPr>
          <w:color w:val="232020"/>
          <w:sz w:val="15"/>
        </w:rPr>
        <w:t>for</w:t>
      </w:r>
      <w:r>
        <w:rPr>
          <w:color w:val="232020"/>
          <w:spacing w:val="-3"/>
          <w:sz w:val="15"/>
        </w:rPr>
        <w:t> </w:t>
      </w:r>
      <w:r>
        <w:rPr>
          <w:color w:val="232020"/>
          <w:sz w:val="15"/>
        </w:rPr>
        <w:t>“surge”</w:t>
      </w:r>
      <w:r>
        <w:rPr>
          <w:color w:val="232020"/>
          <w:spacing w:val="-2"/>
          <w:sz w:val="15"/>
        </w:rPr>
        <w:t> </w:t>
      </w:r>
      <w:r>
        <w:rPr>
          <w:color w:val="232020"/>
          <w:sz w:val="15"/>
        </w:rPr>
        <w:t>of</w:t>
      </w:r>
      <w:r>
        <w:rPr>
          <w:color w:val="232020"/>
          <w:spacing w:val="-2"/>
          <w:sz w:val="15"/>
        </w:rPr>
        <w:t> </w:t>
      </w:r>
      <w:r>
        <w:rPr>
          <w:color w:val="232020"/>
          <w:sz w:val="15"/>
        </w:rPr>
        <w:t>peacekeepers</w:t>
      </w:r>
      <w:r>
        <w:rPr>
          <w:color w:val="232020"/>
          <w:spacing w:val="-2"/>
          <w:sz w:val="15"/>
        </w:rPr>
        <w:t> </w:t>
      </w:r>
      <w:r>
        <w:rPr>
          <w:color w:val="232020"/>
          <w:sz w:val="15"/>
        </w:rPr>
        <w:t>in</w:t>
      </w:r>
      <w:r>
        <w:rPr>
          <w:color w:val="232020"/>
          <w:spacing w:val="-3"/>
          <w:sz w:val="15"/>
        </w:rPr>
        <w:t> </w:t>
      </w:r>
      <w:r>
        <w:rPr>
          <w:color w:val="232020"/>
          <w:sz w:val="15"/>
        </w:rPr>
        <w:t>DR</w:t>
      </w:r>
      <w:r>
        <w:rPr>
          <w:color w:val="232020"/>
          <w:spacing w:val="-2"/>
          <w:sz w:val="15"/>
        </w:rPr>
        <w:t> </w:t>
      </w:r>
      <w:r>
        <w:rPr>
          <w:color w:val="232020"/>
          <w:sz w:val="15"/>
        </w:rPr>
        <w:t>Congo</w:t>
      </w:r>
      <w:r>
        <w:rPr>
          <w:color w:val="232020"/>
          <w:spacing w:val="-2"/>
          <w:sz w:val="15"/>
        </w:rPr>
        <w:t> </w:t>
      </w:r>
      <w:r>
        <w:rPr>
          <w:color w:val="232020"/>
          <w:sz w:val="15"/>
        </w:rPr>
        <w:t>in</w:t>
      </w:r>
      <w:r>
        <w:rPr>
          <w:color w:val="232020"/>
          <w:spacing w:val="-2"/>
          <w:sz w:val="15"/>
        </w:rPr>
        <w:t> </w:t>
      </w:r>
      <w:r>
        <w:rPr>
          <w:color w:val="232020"/>
          <w:sz w:val="15"/>
        </w:rPr>
        <w:t>face</w:t>
      </w:r>
      <w:r>
        <w:rPr>
          <w:color w:val="232020"/>
          <w:spacing w:val="-2"/>
          <w:sz w:val="15"/>
        </w:rPr>
        <w:t> </w:t>
      </w:r>
      <w:r>
        <w:rPr>
          <w:color w:val="232020"/>
          <w:sz w:val="15"/>
        </w:rPr>
        <w:t>of</w:t>
      </w:r>
      <w:r>
        <w:rPr>
          <w:color w:val="232020"/>
          <w:spacing w:val="-3"/>
          <w:sz w:val="15"/>
        </w:rPr>
        <w:t> </w:t>
      </w:r>
      <w:r>
        <w:rPr>
          <w:color w:val="232020"/>
          <w:sz w:val="15"/>
        </w:rPr>
        <w:t>new</w:t>
      </w:r>
      <w:r>
        <w:rPr>
          <w:color w:val="232020"/>
          <w:spacing w:val="-2"/>
          <w:sz w:val="15"/>
        </w:rPr>
        <w:t> </w:t>
      </w:r>
      <w:r>
        <w:rPr>
          <w:color w:val="232020"/>
          <w:sz w:val="15"/>
        </w:rPr>
        <w:t>violence’, UN</w:t>
      </w:r>
      <w:r>
        <w:rPr>
          <w:color w:val="232020"/>
          <w:spacing w:val="-6"/>
          <w:sz w:val="15"/>
        </w:rPr>
        <w:t> </w:t>
      </w:r>
      <w:r>
        <w:rPr>
          <w:color w:val="232020"/>
          <w:sz w:val="15"/>
        </w:rPr>
        <w:t>News,</w:t>
      </w:r>
      <w:r>
        <w:rPr>
          <w:color w:val="232020"/>
          <w:spacing w:val="-6"/>
          <w:sz w:val="15"/>
        </w:rPr>
        <w:t> </w:t>
      </w:r>
      <w:r>
        <w:rPr>
          <w:color w:val="232020"/>
          <w:sz w:val="15"/>
        </w:rPr>
        <w:t>4</w:t>
      </w:r>
      <w:r>
        <w:rPr>
          <w:color w:val="232020"/>
          <w:spacing w:val="-6"/>
          <w:sz w:val="15"/>
        </w:rPr>
        <w:t> </w:t>
      </w:r>
      <w:r>
        <w:rPr>
          <w:color w:val="232020"/>
          <w:sz w:val="15"/>
        </w:rPr>
        <w:t>Oct.</w:t>
      </w:r>
      <w:r>
        <w:rPr>
          <w:color w:val="232020"/>
          <w:spacing w:val="-6"/>
          <w:sz w:val="15"/>
        </w:rPr>
        <w:t> </w:t>
      </w:r>
      <w:r>
        <w:rPr>
          <w:color w:val="232020"/>
          <w:sz w:val="15"/>
        </w:rPr>
        <w:t>2008,</w:t>
      </w:r>
      <w:r>
        <w:rPr>
          <w:color w:val="232020"/>
          <w:spacing w:val="-6"/>
          <w:sz w:val="15"/>
        </w:rPr>
        <w:t> </w:t>
      </w:r>
      <w:hyperlink r:id="rId32">
        <w:r>
          <w:rPr>
            <w:color w:val="232020"/>
            <w:sz w:val="15"/>
          </w:rPr>
          <w:t>&lt;http://www.monuc.org/News.aspx?newsId=18325&gt;.</w:t>
        </w:r>
      </w:hyperlink>
    </w:p>
    <w:p>
      <w:pPr>
        <w:spacing w:after="0" w:line="216" w:lineRule="auto"/>
        <w:jc w:val="both"/>
        <w:rPr>
          <w:rFonts w:ascii="Adobe Jenson Pro Lt Capt" w:hAnsi="Adobe Jenson Pro Lt Capt"/>
          <w:sz w:val="12"/>
        </w:rPr>
        <w:sectPr>
          <w:pgSz w:w="8850" w:h="13270"/>
          <w:pgMar w:header="793" w:footer="0" w:top="1080" w:bottom="280" w:left="1080" w:right="1060"/>
        </w:sectPr>
      </w:pPr>
    </w:p>
    <w:p>
      <w:pPr>
        <w:pStyle w:val="BodyText"/>
        <w:spacing w:line="278" w:lineRule="auto" w:before="141"/>
        <w:ind w:right="118"/>
        <w:rPr>
          <w:rFonts w:ascii="Adobe Jenson Pro Lt Capt" w:hAnsi="Adobe Jenson Pro Lt Capt"/>
          <w:b w:val="0"/>
          <w:sz w:val="12"/>
        </w:rPr>
      </w:pPr>
      <w:bookmarkStart w:name="IV. Conclusions: the way forward" w:id="10"/>
      <w:bookmarkEnd w:id="10"/>
      <w:r>
        <w:rPr/>
      </w:r>
      <w:r>
        <w:rPr>
          <w:color w:val="231F20"/>
        </w:rPr>
        <w:t>been responsible for much of the violence towards displaced persons and other civilians.</w:t>
      </w:r>
      <w:r>
        <w:rPr>
          <w:rFonts w:ascii="Adobe Jenson Pro Lt Capt" w:hAnsi="Adobe Jenson Pro Lt Capt"/>
          <w:b w:val="0"/>
          <w:color w:val="231F20"/>
          <w:position w:val="6"/>
          <w:sz w:val="12"/>
        </w:rPr>
        <w:t>70  </w:t>
      </w:r>
      <w:r>
        <w:rPr>
          <w:color w:val="231F20"/>
        </w:rPr>
        <w:t>In fact, those in need of protection have loudly protested     at MONUC’s failure to protect them from both rebel and government forces.</w:t>
      </w:r>
      <w:r>
        <w:rPr>
          <w:rFonts w:ascii="Adobe Jenson Pro Lt Capt" w:hAnsi="Adobe Jenson Pro Lt Capt"/>
          <w:b w:val="0"/>
          <w:color w:val="231F20"/>
          <w:position w:val="6"/>
          <w:sz w:val="12"/>
        </w:rPr>
        <w:t>71</w:t>
      </w:r>
    </w:p>
    <w:p>
      <w:pPr>
        <w:pStyle w:val="BodyText"/>
        <w:spacing w:before="9"/>
        <w:ind w:left="0"/>
        <w:jc w:val="left"/>
        <w:rPr>
          <w:rFonts w:ascii="Adobe Jenson Pro Lt Capt"/>
          <w:b w:val="0"/>
          <w:sz w:val="21"/>
        </w:rPr>
      </w:pPr>
    </w:p>
    <w:p>
      <w:pPr>
        <w:pStyle w:val="Heading1"/>
        <w:numPr>
          <w:ilvl w:val="0"/>
          <w:numId w:val="1"/>
        </w:numPr>
        <w:tabs>
          <w:tab w:pos="486" w:val="left" w:leader="none"/>
        </w:tabs>
        <w:spacing w:line="240" w:lineRule="auto" w:before="0" w:after="0"/>
        <w:ind w:left="485" w:right="0" w:hanging="386"/>
        <w:jc w:val="left"/>
      </w:pPr>
      <w:r>
        <w:rPr>
          <w:color w:val="231F20"/>
        </w:rPr>
        <w:t>Conclusions: the way</w:t>
      </w:r>
      <w:r>
        <w:rPr>
          <w:color w:val="231F20"/>
          <w:spacing w:val="-21"/>
        </w:rPr>
        <w:t> </w:t>
      </w:r>
      <w:r>
        <w:rPr>
          <w:color w:val="231F20"/>
        </w:rPr>
        <w:t>forward</w:t>
      </w:r>
    </w:p>
    <w:p>
      <w:pPr>
        <w:pStyle w:val="BodyText"/>
        <w:spacing w:line="278" w:lineRule="auto" w:before="193"/>
        <w:ind w:right="117"/>
      </w:pPr>
      <w:r>
        <w:rPr>
          <w:color w:val="231F20"/>
        </w:rPr>
        <w:t>The underlying causes of mass displacement are conﬂicts over  power,  wealth and resource sharing, primarily in states  divided  along  racial,  ethnic, religious or cultural lines. Opportunities therefore exist for both national and international authorities to address the deeper structural div- isions in societies when trying to end conﬂict and displacement through peace processes and forge a collective vision for the</w:t>
      </w:r>
      <w:r>
        <w:rPr>
          <w:color w:val="231F20"/>
          <w:spacing w:val="19"/>
        </w:rPr>
        <w:t> </w:t>
      </w:r>
      <w:r>
        <w:rPr>
          <w:color w:val="231F20"/>
        </w:rPr>
        <w:t>future.</w:t>
      </w:r>
    </w:p>
    <w:p>
      <w:pPr>
        <w:pStyle w:val="BodyText"/>
        <w:spacing w:line="278" w:lineRule="auto"/>
        <w:ind w:right="117" w:firstLine="180"/>
      </w:pPr>
      <w:r>
        <w:rPr>
          <w:color w:val="231F20"/>
        </w:rPr>
        <w:t>Therefore, a ﬁrst priority should be peace agreements that address root causes and make provision for the better integration of refugee and IDP concerns through upgraded consultation with the displaced. As UN Sec- retary-General Koﬁ Annan aptly noted in 2006, the return of refugees and IDPs ‘is often a critical factor in sustaining a peace process and in revital- izing economic activity’.</w:t>
      </w:r>
      <w:r>
        <w:rPr>
          <w:rFonts w:ascii="Adobe Jenson Pro Lt Capt" w:hAnsi="Adobe Jenson Pro Lt Capt"/>
          <w:b w:val="0"/>
          <w:color w:val="231F20"/>
          <w:position w:val="6"/>
          <w:sz w:val="12"/>
        </w:rPr>
        <w:t>72 </w:t>
      </w:r>
      <w:r>
        <w:rPr>
          <w:color w:val="231F20"/>
        </w:rPr>
        <w:t>Many of the peace agreements of the past two decades have made some provisions for the return, resettlement and reintegration of those uprooted.</w:t>
      </w:r>
      <w:r>
        <w:rPr>
          <w:rFonts w:ascii="Adobe Jenson Pro Lt Capt" w:hAnsi="Adobe Jenson Pro Lt Capt"/>
          <w:b w:val="0"/>
          <w:color w:val="231F20"/>
          <w:position w:val="6"/>
          <w:sz w:val="12"/>
        </w:rPr>
        <w:t>73 </w:t>
      </w:r>
      <w:r>
        <w:rPr>
          <w:color w:val="231F20"/>
        </w:rPr>
        <w:t>Even though not wholly successful, the 1995 General Framework for Peace in Bosnia and Herzegovina (Dayton Agreement) sought to reverse ethnic cleansing through IDP and refugee returns and set up enforceable arrangements for property restitution.</w:t>
      </w:r>
      <w:r>
        <w:rPr>
          <w:rFonts w:ascii="Adobe Jenson Pro Lt Capt" w:hAnsi="Adobe Jenson Pro Lt Capt"/>
          <w:b w:val="0"/>
          <w:color w:val="231F20"/>
          <w:position w:val="6"/>
          <w:sz w:val="12"/>
        </w:rPr>
        <w:t>74 </w:t>
      </w:r>
      <w:r>
        <w:rPr>
          <w:color w:val="231F20"/>
        </w:rPr>
        <w:t>Likewise, the 2005 Comprehensive Peace Agreement (CPA)  in  Sudan  sought to provide for more equitable wealth and power-sharing arrange- ments between the north and south of the country and for the return and resettlement of displaced persons. In both cases, more stringent inter- national monitoring could have produced better</w:t>
      </w:r>
      <w:r>
        <w:rPr>
          <w:color w:val="231F20"/>
          <w:spacing w:val="17"/>
        </w:rPr>
        <w:t> </w:t>
      </w:r>
      <w:r>
        <w:rPr>
          <w:color w:val="231F20"/>
        </w:rPr>
        <w:t>implementation.</w:t>
      </w:r>
    </w:p>
    <w:p>
      <w:pPr>
        <w:pStyle w:val="ListParagraph"/>
        <w:numPr>
          <w:ilvl w:val="0"/>
          <w:numId w:val="3"/>
        </w:numPr>
        <w:tabs>
          <w:tab w:pos="440" w:val="left" w:leader="none"/>
        </w:tabs>
        <w:spacing w:line="213" w:lineRule="auto" w:before="223" w:after="0"/>
        <w:ind w:left="100" w:right="121" w:firstLine="182"/>
        <w:jc w:val="both"/>
        <w:rPr>
          <w:rFonts w:ascii="Adobe Jenson Pro Lt Capt" w:hAnsi="Adobe Jenson Pro Lt Capt"/>
          <w:color w:val="231F20"/>
          <w:sz w:val="12"/>
        </w:rPr>
      </w:pPr>
      <w:r>
        <w:rPr>
          <w:color w:val="231F20"/>
          <w:sz w:val="15"/>
        </w:rPr>
        <w:t>See</w:t>
      </w:r>
      <w:r>
        <w:rPr>
          <w:color w:val="231F20"/>
          <w:spacing w:val="-8"/>
          <w:sz w:val="15"/>
        </w:rPr>
        <w:t> </w:t>
      </w:r>
      <w:r>
        <w:rPr>
          <w:color w:val="231F20"/>
          <w:sz w:val="15"/>
        </w:rPr>
        <w:t>UN</w:t>
      </w:r>
      <w:r>
        <w:rPr>
          <w:color w:val="231F20"/>
          <w:spacing w:val="-7"/>
          <w:sz w:val="15"/>
        </w:rPr>
        <w:t> </w:t>
      </w:r>
      <w:r>
        <w:rPr>
          <w:color w:val="231F20"/>
          <w:sz w:val="15"/>
        </w:rPr>
        <w:t>Security</w:t>
      </w:r>
      <w:r>
        <w:rPr>
          <w:color w:val="231F20"/>
          <w:spacing w:val="-7"/>
          <w:sz w:val="15"/>
        </w:rPr>
        <w:t> </w:t>
      </w:r>
      <w:r>
        <w:rPr>
          <w:color w:val="231F20"/>
          <w:sz w:val="15"/>
        </w:rPr>
        <w:t>Council,</w:t>
      </w:r>
      <w:r>
        <w:rPr>
          <w:color w:val="231F20"/>
          <w:spacing w:val="-7"/>
          <w:sz w:val="15"/>
        </w:rPr>
        <w:t> </w:t>
      </w:r>
      <w:r>
        <w:rPr>
          <w:color w:val="231F20"/>
          <w:sz w:val="15"/>
        </w:rPr>
        <w:t>‘Security</w:t>
      </w:r>
      <w:r>
        <w:rPr>
          <w:color w:val="231F20"/>
          <w:spacing w:val="-8"/>
          <w:sz w:val="15"/>
        </w:rPr>
        <w:t> </w:t>
      </w:r>
      <w:r>
        <w:rPr>
          <w:color w:val="231F20"/>
          <w:sz w:val="15"/>
        </w:rPr>
        <w:t>Council</w:t>
      </w:r>
      <w:r>
        <w:rPr>
          <w:color w:val="231F20"/>
          <w:spacing w:val="-7"/>
          <w:sz w:val="15"/>
        </w:rPr>
        <w:t> </w:t>
      </w:r>
      <w:r>
        <w:rPr>
          <w:color w:val="231F20"/>
          <w:sz w:val="15"/>
        </w:rPr>
        <w:t>extends</w:t>
      </w:r>
      <w:r>
        <w:rPr>
          <w:color w:val="231F20"/>
          <w:spacing w:val="-7"/>
          <w:sz w:val="15"/>
        </w:rPr>
        <w:t> </w:t>
      </w:r>
      <w:r>
        <w:rPr>
          <w:color w:val="231F20"/>
          <w:sz w:val="15"/>
        </w:rPr>
        <w:t>mission</w:t>
      </w:r>
      <w:r>
        <w:rPr>
          <w:color w:val="231F20"/>
          <w:spacing w:val="-7"/>
          <w:sz w:val="15"/>
        </w:rPr>
        <w:t> </w:t>
      </w:r>
      <w:r>
        <w:rPr>
          <w:color w:val="231F20"/>
          <w:sz w:val="15"/>
        </w:rPr>
        <w:t>in</w:t>
      </w:r>
      <w:r>
        <w:rPr>
          <w:color w:val="231F20"/>
          <w:spacing w:val="-8"/>
          <w:sz w:val="15"/>
        </w:rPr>
        <w:t> </w:t>
      </w:r>
      <w:r>
        <w:rPr>
          <w:color w:val="231F20"/>
          <w:sz w:val="15"/>
        </w:rPr>
        <w:t>Democratic</w:t>
      </w:r>
      <w:r>
        <w:rPr>
          <w:color w:val="231F20"/>
          <w:spacing w:val="-7"/>
          <w:sz w:val="15"/>
        </w:rPr>
        <w:t> </w:t>
      </w:r>
      <w:r>
        <w:rPr>
          <w:color w:val="231F20"/>
          <w:sz w:val="15"/>
        </w:rPr>
        <w:t>Republic</w:t>
      </w:r>
      <w:r>
        <w:rPr>
          <w:color w:val="231F20"/>
          <w:spacing w:val="-7"/>
          <w:sz w:val="15"/>
        </w:rPr>
        <w:t> </w:t>
      </w:r>
      <w:r>
        <w:rPr>
          <w:color w:val="231F20"/>
          <w:sz w:val="15"/>
        </w:rPr>
        <w:t>of</w:t>
      </w:r>
      <w:r>
        <w:rPr>
          <w:color w:val="231F20"/>
          <w:spacing w:val="-7"/>
          <w:sz w:val="15"/>
        </w:rPr>
        <w:t> </w:t>
      </w:r>
      <w:r>
        <w:rPr>
          <w:color w:val="231F20"/>
          <w:sz w:val="15"/>
        </w:rPr>
        <w:t>Congo until 15 May, unanimously adopting Resolution 1751 (2007)’, Press release, SC/8996, 13 Apr. 2007. See also Gambino, A. W., </w:t>
      </w:r>
      <w:r>
        <w:rPr>
          <w:i/>
          <w:color w:val="231F20"/>
          <w:sz w:val="15"/>
        </w:rPr>
        <w:t>Congo Securing Peace, Sustaining Progress</w:t>
      </w:r>
      <w:r>
        <w:rPr>
          <w:color w:val="231F20"/>
          <w:sz w:val="15"/>
        </w:rPr>
        <w:t>, Council on Foreign Relations, Center</w:t>
      </w:r>
      <w:r>
        <w:rPr>
          <w:color w:val="231F20"/>
          <w:spacing w:val="-4"/>
          <w:sz w:val="15"/>
        </w:rPr>
        <w:t> </w:t>
      </w:r>
      <w:r>
        <w:rPr>
          <w:color w:val="231F20"/>
          <w:sz w:val="15"/>
        </w:rPr>
        <w:t>for</w:t>
      </w:r>
      <w:r>
        <w:rPr>
          <w:color w:val="231F20"/>
          <w:spacing w:val="-4"/>
          <w:sz w:val="15"/>
        </w:rPr>
        <w:t> </w:t>
      </w:r>
      <w:r>
        <w:rPr>
          <w:color w:val="231F20"/>
          <w:sz w:val="15"/>
        </w:rPr>
        <w:t>Preventive</w:t>
      </w:r>
      <w:r>
        <w:rPr>
          <w:color w:val="231F20"/>
          <w:spacing w:val="-4"/>
          <w:sz w:val="15"/>
        </w:rPr>
        <w:t> </w:t>
      </w:r>
      <w:r>
        <w:rPr>
          <w:color w:val="231F20"/>
          <w:sz w:val="15"/>
        </w:rPr>
        <w:t>Action,</w:t>
      </w:r>
      <w:r>
        <w:rPr>
          <w:color w:val="231F20"/>
          <w:spacing w:val="-4"/>
          <w:sz w:val="15"/>
        </w:rPr>
        <w:t> </w:t>
      </w:r>
      <w:r>
        <w:rPr>
          <w:color w:val="231F20"/>
          <w:sz w:val="15"/>
        </w:rPr>
        <w:t>Special</w:t>
      </w:r>
      <w:r>
        <w:rPr>
          <w:color w:val="231F20"/>
          <w:spacing w:val="-4"/>
          <w:sz w:val="15"/>
        </w:rPr>
        <w:t> </w:t>
      </w:r>
      <w:r>
        <w:rPr>
          <w:color w:val="231F20"/>
          <w:sz w:val="15"/>
        </w:rPr>
        <w:t>Report</w:t>
      </w:r>
      <w:r>
        <w:rPr>
          <w:color w:val="231F20"/>
          <w:spacing w:val="-4"/>
          <w:sz w:val="15"/>
        </w:rPr>
        <w:t> </w:t>
      </w:r>
      <w:r>
        <w:rPr>
          <w:color w:val="231F20"/>
          <w:sz w:val="15"/>
        </w:rPr>
        <w:t>no.</w:t>
      </w:r>
      <w:r>
        <w:rPr>
          <w:color w:val="231F20"/>
          <w:spacing w:val="-4"/>
          <w:sz w:val="15"/>
        </w:rPr>
        <w:t> </w:t>
      </w:r>
      <w:r>
        <w:rPr>
          <w:color w:val="231F20"/>
          <w:sz w:val="15"/>
        </w:rPr>
        <w:t>40</w:t>
      </w:r>
      <w:r>
        <w:rPr>
          <w:color w:val="231F20"/>
          <w:spacing w:val="-4"/>
          <w:sz w:val="15"/>
        </w:rPr>
        <w:t> </w:t>
      </w:r>
      <w:r>
        <w:rPr>
          <w:color w:val="231F20"/>
          <w:sz w:val="15"/>
        </w:rPr>
        <w:t>(Council</w:t>
      </w:r>
      <w:r>
        <w:rPr>
          <w:color w:val="231F20"/>
          <w:spacing w:val="-4"/>
          <w:sz w:val="15"/>
        </w:rPr>
        <w:t> </w:t>
      </w:r>
      <w:r>
        <w:rPr>
          <w:color w:val="231F20"/>
          <w:sz w:val="15"/>
        </w:rPr>
        <w:t>on</w:t>
      </w:r>
      <w:r>
        <w:rPr>
          <w:color w:val="231F20"/>
          <w:spacing w:val="-4"/>
          <w:sz w:val="15"/>
        </w:rPr>
        <w:t> </w:t>
      </w:r>
      <w:r>
        <w:rPr>
          <w:color w:val="231F20"/>
          <w:sz w:val="15"/>
        </w:rPr>
        <w:t>Foreign</w:t>
      </w:r>
      <w:r>
        <w:rPr>
          <w:color w:val="231F20"/>
          <w:spacing w:val="-4"/>
          <w:sz w:val="15"/>
        </w:rPr>
        <w:t> </w:t>
      </w:r>
      <w:r>
        <w:rPr>
          <w:color w:val="231F20"/>
          <w:sz w:val="15"/>
        </w:rPr>
        <w:t>Relations</w:t>
      </w:r>
      <w:r>
        <w:rPr>
          <w:color w:val="231F20"/>
          <w:spacing w:val="-4"/>
          <w:sz w:val="15"/>
        </w:rPr>
        <w:t> </w:t>
      </w:r>
      <w:r>
        <w:rPr>
          <w:color w:val="231F20"/>
          <w:sz w:val="15"/>
        </w:rPr>
        <w:t>Press:</w:t>
      </w:r>
      <w:r>
        <w:rPr>
          <w:color w:val="231F20"/>
          <w:spacing w:val="-4"/>
          <w:sz w:val="15"/>
        </w:rPr>
        <w:t> </w:t>
      </w:r>
      <w:r>
        <w:rPr>
          <w:color w:val="231F20"/>
          <w:sz w:val="15"/>
        </w:rPr>
        <w:t>Washing- ton, DC, 2008), pp. 4,</w:t>
      </w:r>
      <w:r>
        <w:rPr>
          <w:color w:val="231F20"/>
          <w:spacing w:val="-21"/>
          <w:sz w:val="15"/>
        </w:rPr>
        <w:t> </w:t>
      </w:r>
      <w:r>
        <w:rPr>
          <w:color w:val="231F20"/>
          <w:sz w:val="15"/>
        </w:rPr>
        <w:t>7.</w:t>
      </w:r>
    </w:p>
    <w:p>
      <w:pPr>
        <w:pStyle w:val="ListParagraph"/>
        <w:numPr>
          <w:ilvl w:val="0"/>
          <w:numId w:val="3"/>
        </w:numPr>
        <w:tabs>
          <w:tab w:pos="440" w:val="left" w:leader="none"/>
        </w:tabs>
        <w:spacing w:line="213" w:lineRule="auto" w:before="1" w:after="0"/>
        <w:ind w:left="100" w:right="122" w:firstLine="182"/>
        <w:jc w:val="both"/>
        <w:rPr>
          <w:rFonts w:ascii="Adobe Jenson Pro Lt Capt" w:hAnsi="Adobe Jenson Pro Lt Capt"/>
          <w:color w:val="231F20"/>
          <w:sz w:val="12"/>
        </w:rPr>
      </w:pPr>
      <w:r>
        <w:rPr>
          <w:color w:val="231F20"/>
          <w:sz w:val="15"/>
        </w:rPr>
        <w:t>MONUC,</w:t>
      </w:r>
      <w:r>
        <w:rPr>
          <w:color w:val="231F20"/>
          <w:spacing w:val="-7"/>
          <w:sz w:val="15"/>
        </w:rPr>
        <w:t> </w:t>
      </w:r>
      <w:r>
        <w:rPr>
          <w:color w:val="231F20"/>
          <w:sz w:val="15"/>
        </w:rPr>
        <w:t>‘UN</w:t>
      </w:r>
      <w:r>
        <w:rPr>
          <w:color w:val="231F20"/>
          <w:spacing w:val="-6"/>
          <w:sz w:val="15"/>
        </w:rPr>
        <w:t> </w:t>
      </w:r>
      <w:r>
        <w:rPr>
          <w:color w:val="231F20"/>
          <w:sz w:val="15"/>
        </w:rPr>
        <w:t>attacks</w:t>
      </w:r>
      <w:r>
        <w:rPr>
          <w:color w:val="231F20"/>
          <w:spacing w:val="-7"/>
          <w:sz w:val="15"/>
        </w:rPr>
        <w:t> </w:t>
      </w:r>
      <w:r>
        <w:rPr>
          <w:color w:val="231F20"/>
          <w:sz w:val="15"/>
        </w:rPr>
        <w:t>rebels</w:t>
      </w:r>
      <w:r>
        <w:rPr>
          <w:color w:val="231F20"/>
          <w:spacing w:val="-6"/>
          <w:sz w:val="15"/>
        </w:rPr>
        <w:t> </w:t>
      </w:r>
      <w:r>
        <w:rPr>
          <w:color w:val="231F20"/>
          <w:sz w:val="15"/>
        </w:rPr>
        <w:t>to</w:t>
      </w:r>
      <w:r>
        <w:rPr>
          <w:color w:val="231F20"/>
          <w:spacing w:val="-7"/>
          <w:sz w:val="15"/>
        </w:rPr>
        <w:t> </w:t>
      </w:r>
      <w:r>
        <w:rPr>
          <w:color w:val="231F20"/>
          <w:sz w:val="15"/>
        </w:rPr>
        <w:t>protect</w:t>
      </w:r>
      <w:r>
        <w:rPr>
          <w:color w:val="231F20"/>
          <w:spacing w:val="-6"/>
          <w:sz w:val="15"/>
        </w:rPr>
        <w:t> </w:t>
      </w:r>
      <w:r>
        <w:rPr>
          <w:color w:val="231F20"/>
          <w:sz w:val="15"/>
        </w:rPr>
        <w:t>civilians</w:t>
      </w:r>
      <w:r>
        <w:rPr>
          <w:color w:val="231F20"/>
          <w:spacing w:val="-7"/>
          <w:sz w:val="15"/>
        </w:rPr>
        <w:t> </w:t>
      </w:r>
      <w:r>
        <w:rPr>
          <w:color w:val="231F20"/>
          <w:sz w:val="15"/>
        </w:rPr>
        <w:t>in</w:t>
      </w:r>
      <w:r>
        <w:rPr>
          <w:color w:val="231F20"/>
          <w:spacing w:val="-6"/>
          <w:sz w:val="15"/>
        </w:rPr>
        <w:t> </w:t>
      </w:r>
      <w:r>
        <w:rPr>
          <w:color w:val="231F20"/>
          <w:sz w:val="15"/>
        </w:rPr>
        <w:t>Congo’,</w:t>
      </w:r>
      <w:r>
        <w:rPr>
          <w:color w:val="231F20"/>
          <w:spacing w:val="-7"/>
          <w:sz w:val="15"/>
        </w:rPr>
        <w:t> </w:t>
      </w:r>
      <w:r>
        <w:rPr>
          <w:color w:val="231F20"/>
          <w:sz w:val="15"/>
        </w:rPr>
        <w:t>28</w:t>
      </w:r>
      <w:r>
        <w:rPr>
          <w:color w:val="231F20"/>
          <w:spacing w:val="-6"/>
          <w:sz w:val="15"/>
        </w:rPr>
        <w:t> </w:t>
      </w:r>
      <w:r>
        <w:rPr>
          <w:color w:val="231F20"/>
          <w:sz w:val="15"/>
        </w:rPr>
        <w:t>Oct.</w:t>
      </w:r>
      <w:r>
        <w:rPr>
          <w:color w:val="231F20"/>
          <w:spacing w:val="-7"/>
          <w:sz w:val="15"/>
        </w:rPr>
        <w:t> </w:t>
      </w:r>
      <w:r>
        <w:rPr>
          <w:color w:val="231F20"/>
          <w:sz w:val="15"/>
        </w:rPr>
        <w:t>2008,</w:t>
      </w:r>
      <w:r>
        <w:rPr>
          <w:color w:val="231F20"/>
          <w:spacing w:val="-6"/>
          <w:sz w:val="15"/>
        </w:rPr>
        <w:t> </w:t>
      </w:r>
      <w:r>
        <w:rPr>
          <w:color w:val="231F20"/>
          <w:sz w:val="15"/>
        </w:rPr>
        <w:t>&lt;http://www.monuc. org/news.aspx?newsID=18513&gt;. On developments in MONUC and other peace operations during 2008,</w:t>
      </w:r>
      <w:r>
        <w:rPr>
          <w:color w:val="231F20"/>
          <w:spacing w:val="-7"/>
          <w:sz w:val="15"/>
        </w:rPr>
        <w:t> </w:t>
      </w:r>
      <w:r>
        <w:rPr>
          <w:color w:val="231F20"/>
          <w:sz w:val="15"/>
        </w:rPr>
        <w:t>including</w:t>
      </w:r>
      <w:r>
        <w:rPr>
          <w:color w:val="231F20"/>
          <w:spacing w:val="-7"/>
          <w:sz w:val="15"/>
        </w:rPr>
        <w:t> </w:t>
      </w:r>
      <w:r>
        <w:rPr>
          <w:color w:val="231F20"/>
          <w:sz w:val="15"/>
        </w:rPr>
        <w:t>questions</w:t>
      </w:r>
      <w:r>
        <w:rPr>
          <w:color w:val="231F20"/>
          <w:spacing w:val="-7"/>
          <w:sz w:val="15"/>
        </w:rPr>
        <w:t> </w:t>
      </w:r>
      <w:r>
        <w:rPr>
          <w:color w:val="231F20"/>
          <w:sz w:val="15"/>
        </w:rPr>
        <w:t>on</w:t>
      </w:r>
      <w:r>
        <w:rPr>
          <w:color w:val="231F20"/>
          <w:spacing w:val="-6"/>
          <w:sz w:val="15"/>
        </w:rPr>
        <w:t> </w:t>
      </w:r>
      <w:r>
        <w:rPr>
          <w:color w:val="231F20"/>
          <w:sz w:val="15"/>
        </w:rPr>
        <w:t>the</w:t>
      </w:r>
      <w:r>
        <w:rPr>
          <w:color w:val="231F20"/>
          <w:spacing w:val="-7"/>
          <w:sz w:val="15"/>
        </w:rPr>
        <w:t> </w:t>
      </w:r>
      <w:r>
        <w:rPr>
          <w:color w:val="231F20"/>
          <w:sz w:val="15"/>
        </w:rPr>
        <w:t>protection</w:t>
      </w:r>
      <w:r>
        <w:rPr>
          <w:color w:val="231F20"/>
          <w:spacing w:val="-7"/>
          <w:sz w:val="15"/>
        </w:rPr>
        <w:t> </w:t>
      </w:r>
      <w:r>
        <w:rPr>
          <w:color w:val="231F20"/>
          <w:sz w:val="15"/>
        </w:rPr>
        <w:t>of</w:t>
      </w:r>
      <w:r>
        <w:rPr>
          <w:color w:val="231F20"/>
          <w:spacing w:val="-6"/>
          <w:sz w:val="15"/>
        </w:rPr>
        <w:t> </w:t>
      </w:r>
      <w:r>
        <w:rPr>
          <w:color w:val="231F20"/>
          <w:sz w:val="15"/>
        </w:rPr>
        <w:t>civilians,</w:t>
      </w:r>
      <w:r>
        <w:rPr>
          <w:color w:val="231F20"/>
          <w:spacing w:val="-7"/>
          <w:sz w:val="15"/>
        </w:rPr>
        <w:t> </w:t>
      </w:r>
      <w:r>
        <w:rPr>
          <w:color w:val="231F20"/>
          <w:sz w:val="15"/>
        </w:rPr>
        <w:t>see</w:t>
      </w:r>
      <w:r>
        <w:rPr>
          <w:color w:val="231F20"/>
          <w:spacing w:val="-7"/>
          <w:sz w:val="15"/>
        </w:rPr>
        <w:t> </w:t>
      </w:r>
      <w:r>
        <w:rPr>
          <w:color w:val="231F20"/>
          <w:sz w:val="15"/>
        </w:rPr>
        <w:t>chapter</w:t>
      </w:r>
      <w:r>
        <w:rPr>
          <w:color w:val="231F20"/>
          <w:spacing w:val="-6"/>
          <w:sz w:val="15"/>
        </w:rPr>
        <w:t> </w:t>
      </w:r>
      <w:r>
        <w:rPr>
          <w:color w:val="231F20"/>
          <w:sz w:val="15"/>
        </w:rPr>
        <w:t>3</w:t>
      </w:r>
      <w:r>
        <w:rPr>
          <w:color w:val="231F20"/>
          <w:spacing w:val="-7"/>
          <w:sz w:val="15"/>
        </w:rPr>
        <w:t> </w:t>
      </w:r>
      <w:r>
        <w:rPr>
          <w:color w:val="231F20"/>
          <w:sz w:val="15"/>
        </w:rPr>
        <w:t>in</w:t>
      </w:r>
      <w:r>
        <w:rPr>
          <w:color w:val="231F20"/>
          <w:spacing w:val="-7"/>
          <w:sz w:val="15"/>
        </w:rPr>
        <w:t> </w:t>
      </w:r>
      <w:r>
        <w:rPr>
          <w:color w:val="231F20"/>
          <w:sz w:val="15"/>
        </w:rPr>
        <w:t>this</w:t>
      </w:r>
      <w:r>
        <w:rPr>
          <w:color w:val="231F20"/>
          <w:spacing w:val="-6"/>
          <w:sz w:val="15"/>
        </w:rPr>
        <w:t> </w:t>
      </w:r>
      <w:r>
        <w:rPr>
          <w:color w:val="231F20"/>
          <w:sz w:val="15"/>
        </w:rPr>
        <w:t>volume.</w:t>
      </w:r>
    </w:p>
    <w:p>
      <w:pPr>
        <w:pStyle w:val="ListParagraph"/>
        <w:numPr>
          <w:ilvl w:val="0"/>
          <w:numId w:val="3"/>
        </w:numPr>
        <w:tabs>
          <w:tab w:pos="440" w:val="left" w:leader="none"/>
        </w:tabs>
        <w:spacing w:line="213" w:lineRule="auto" w:before="0" w:after="0"/>
        <w:ind w:left="100" w:right="120" w:firstLine="182"/>
        <w:jc w:val="right"/>
        <w:rPr>
          <w:rFonts w:ascii="Adobe Jenson Pro Lt Capt" w:hAnsi="Adobe Jenson Pro Lt Capt"/>
          <w:color w:val="231F20"/>
          <w:sz w:val="12"/>
        </w:rPr>
      </w:pPr>
      <w:r>
        <w:rPr>
          <w:color w:val="231F20"/>
          <w:sz w:val="15"/>
        </w:rPr>
        <w:t>UN</w:t>
      </w:r>
      <w:r>
        <w:rPr>
          <w:color w:val="231F20"/>
          <w:spacing w:val="-12"/>
          <w:sz w:val="15"/>
        </w:rPr>
        <w:t> </w:t>
      </w:r>
      <w:r>
        <w:rPr>
          <w:color w:val="231F20"/>
          <w:sz w:val="15"/>
        </w:rPr>
        <w:t>Information</w:t>
      </w:r>
      <w:r>
        <w:rPr>
          <w:color w:val="231F20"/>
          <w:spacing w:val="-12"/>
          <w:sz w:val="15"/>
        </w:rPr>
        <w:t> </w:t>
      </w:r>
      <w:r>
        <w:rPr>
          <w:color w:val="231F20"/>
          <w:sz w:val="15"/>
        </w:rPr>
        <w:t>Service,</w:t>
      </w:r>
      <w:r>
        <w:rPr>
          <w:color w:val="231F20"/>
          <w:spacing w:val="-12"/>
          <w:sz w:val="15"/>
        </w:rPr>
        <w:t> </w:t>
      </w:r>
      <w:r>
        <w:rPr>
          <w:color w:val="231F20"/>
          <w:sz w:val="15"/>
        </w:rPr>
        <w:t>‘Secretary-General</w:t>
      </w:r>
      <w:r>
        <w:rPr>
          <w:color w:val="231F20"/>
          <w:spacing w:val="-12"/>
          <w:sz w:val="15"/>
        </w:rPr>
        <w:t> </w:t>
      </w:r>
      <w:r>
        <w:rPr>
          <w:color w:val="231F20"/>
          <w:sz w:val="15"/>
        </w:rPr>
        <w:t>to</w:t>
      </w:r>
      <w:r>
        <w:rPr>
          <w:color w:val="231F20"/>
          <w:spacing w:val="-12"/>
          <w:sz w:val="15"/>
        </w:rPr>
        <w:t> </w:t>
      </w:r>
      <w:r>
        <w:rPr>
          <w:color w:val="231F20"/>
          <w:sz w:val="15"/>
        </w:rPr>
        <w:t>UNHCR</w:t>
      </w:r>
      <w:r>
        <w:rPr>
          <w:color w:val="231F20"/>
          <w:spacing w:val="-11"/>
          <w:sz w:val="15"/>
        </w:rPr>
        <w:t> </w:t>
      </w:r>
      <w:r>
        <w:rPr>
          <w:color w:val="231F20"/>
          <w:sz w:val="15"/>
        </w:rPr>
        <w:t>Executive</w:t>
      </w:r>
      <w:r>
        <w:rPr>
          <w:color w:val="231F20"/>
          <w:spacing w:val="-12"/>
          <w:sz w:val="15"/>
        </w:rPr>
        <w:t> </w:t>
      </w:r>
      <w:r>
        <w:rPr>
          <w:color w:val="231F20"/>
          <w:sz w:val="15"/>
        </w:rPr>
        <w:t>Committee:</w:t>
      </w:r>
      <w:r>
        <w:rPr>
          <w:color w:val="231F20"/>
          <w:spacing w:val="-12"/>
          <w:sz w:val="15"/>
        </w:rPr>
        <w:t> </w:t>
      </w:r>
      <w:r>
        <w:rPr>
          <w:color w:val="231F20"/>
          <w:sz w:val="15"/>
        </w:rPr>
        <w:t>World</w:t>
      </w:r>
      <w:r>
        <w:rPr>
          <w:color w:val="231F20"/>
          <w:spacing w:val="-12"/>
          <w:sz w:val="15"/>
        </w:rPr>
        <w:t> </w:t>
      </w:r>
      <w:r>
        <w:rPr>
          <w:color w:val="231F20"/>
          <w:sz w:val="15"/>
        </w:rPr>
        <w:t>Summit</w:t>
      </w:r>
      <w:r>
        <w:rPr>
          <w:color w:val="231F20"/>
          <w:w w:val="96"/>
          <w:sz w:val="15"/>
        </w:rPr>
        <w:t> </w:t>
      </w:r>
      <w:r>
        <w:rPr>
          <w:color w:val="231F20"/>
          <w:sz w:val="15"/>
        </w:rPr>
        <w:t>made</w:t>
      </w:r>
      <w:r>
        <w:rPr>
          <w:color w:val="231F20"/>
          <w:spacing w:val="-8"/>
          <w:sz w:val="15"/>
        </w:rPr>
        <w:t> </w:t>
      </w:r>
      <w:r>
        <w:rPr>
          <w:color w:val="231F20"/>
          <w:sz w:val="15"/>
        </w:rPr>
        <w:t>remarkable</w:t>
      </w:r>
      <w:r>
        <w:rPr>
          <w:color w:val="231F20"/>
          <w:spacing w:val="-8"/>
          <w:sz w:val="15"/>
        </w:rPr>
        <w:t> </w:t>
      </w:r>
      <w:r>
        <w:rPr>
          <w:color w:val="231F20"/>
          <w:sz w:val="15"/>
        </w:rPr>
        <w:t>commitment</w:t>
      </w:r>
      <w:r>
        <w:rPr>
          <w:color w:val="231F20"/>
          <w:spacing w:val="-7"/>
          <w:sz w:val="15"/>
        </w:rPr>
        <w:t> </w:t>
      </w:r>
      <w:r>
        <w:rPr>
          <w:color w:val="231F20"/>
          <w:sz w:val="15"/>
        </w:rPr>
        <w:t>to</w:t>
      </w:r>
      <w:r>
        <w:rPr>
          <w:color w:val="231F20"/>
          <w:spacing w:val="-8"/>
          <w:sz w:val="15"/>
        </w:rPr>
        <w:t> </w:t>
      </w:r>
      <w:r>
        <w:rPr>
          <w:color w:val="231F20"/>
          <w:sz w:val="15"/>
        </w:rPr>
        <w:t>humanitarian</w:t>
      </w:r>
      <w:r>
        <w:rPr>
          <w:color w:val="231F20"/>
          <w:spacing w:val="-7"/>
          <w:sz w:val="15"/>
        </w:rPr>
        <w:t> </w:t>
      </w:r>
      <w:r>
        <w:rPr>
          <w:color w:val="231F20"/>
          <w:sz w:val="15"/>
        </w:rPr>
        <w:t>community’,</w:t>
      </w:r>
      <w:r>
        <w:rPr>
          <w:color w:val="231F20"/>
          <w:spacing w:val="-8"/>
          <w:sz w:val="15"/>
        </w:rPr>
        <w:t> </w:t>
      </w:r>
      <w:r>
        <w:rPr>
          <w:color w:val="231F20"/>
          <w:sz w:val="15"/>
        </w:rPr>
        <w:t>Address</w:t>
      </w:r>
      <w:r>
        <w:rPr>
          <w:color w:val="231F20"/>
          <w:spacing w:val="-8"/>
          <w:sz w:val="15"/>
        </w:rPr>
        <w:t> </w:t>
      </w:r>
      <w:r>
        <w:rPr>
          <w:color w:val="231F20"/>
          <w:sz w:val="15"/>
        </w:rPr>
        <w:t>to</w:t>
      </w:r>
      <w:r>
        <w:rPr>
          <w:color w:val="231F20"/>
          <w:spacing w:val="-7"/>
          <w:sz w:val="15"/>
        </w:rPr>
        <w:t> </w:t>
      </w:r>
      <w:r>
        <w:rPr>
          <w:color w:val="231F20"/>
          <w:sz w:val="15"/>
        </w:rPr>
        <w:t>UNHCR</w:t>
      </w:r>
      <w:r>
        <w:rPr>
          <w:color w:val="231F20"/>
          <w:spacing w:val="-8"/>
          <w:sz w:val="15"/>
        </w:rPr>
        <w:t> </w:t>
      </w:r>
      <w:r>
        <w:rPr>
          <w:color w:val="231F20"/>
          <w:sz w:val="15"/>
        </w:rPr>
        <w:t>Executive</w:t>
      </w:r>
      <w:r>
        <w:rPr>
          <w:color w:val="231F20"/>
          <w:spacing w:val="-7"/>
          <w:sz w:val="15"/>
        </w:rPr>
        <w:t> </w:t>
      </w:r>
      <w:r>
        <w:rPr>
          <w:color w:val="231F20"/>
          <w:sz w:val="15"/>
        </w:rPr>
        <w:t>Com-</w:t>
      </w:r>
      <w:r>
        <w:rPr>
          <w:color w:val="231F20"/>
          <w:w w:val="109"/>
          <w:sz w:val="15"/>
        </w:rPr>
        <w:t> </w:t>
      </w:r>
      <w:r>
        <w:rPr>
          <w:color w:val="231F20"/>
          <w:sz w:val="15"/>
        </w:rPr>
        <w:t>mittee,</w:t>
      </w:r>
      <w:r>
        <w:rPr>
          <w:color w:val="231F20"/>
          <w:spacing w:val="-18"/>
          <w:sz w:val="15"/>
        </w:rPr>
        <w:t> </w:t>
      </w:r>
      <w:r>
        <w:rPr>
          <w:color w:val="231F20"/>
          <w:sz w:val="15"/>
        </w:rPr>
        <w:t>Geneva,</w:t>
      </w:r>
      <w:r>
        <w:rPr>
          <w:color w:val="231F20"/>
          <w:spacing w:val="-18"/>
          <w:sz w:val="15"/>
        </w:rPr>
        <w:t> </w:t>
      </w:r>
      <w:r>
        <w:rPr>
          <w:color w:val="231F20"/>
          <w:sz w:val="15"/>
        </w:rPr>
        <w:t>6</w:t>
      </w:r>
      <w:r>
        <w:rPr>
          <w:color w:val="231F20"/>
          <w:spacing w:val="-18"/>
          <w:sz w:val="15"/>
        </w:rPr>
        <w:t> </w:t>
      </w:r>
      <w:r>
        <w:rPr>
          <w:color w:val="231F20"/>
          <w:sz w:val="15"/>
        </w:rPr>
        <w:t>Oct.</w:t>
      </w:r>
      <w:r>
        <w:rPr>
          <w:color w:val="231F20"/>
          <w:spacing w:val="-18"/>
          <w:sz w:val="15"/>
        </w:rPr>
        <w:t> </w:t>
      </w:r>
      <w:r>
        <w:rPr>
          <w:color w:val="231F20"/>
          <w:sz w:val="15"/>
        </w:rPr>
        <w:t>2006,</w:t>
      </w:r>
      <w:r>
        <w:rPr>
          <w:color w:val="231F20"/>
          <w:spacing w:val="-17"/>
          <w:sz w:val="15"/>
        </w:rPr>
        <w:t> </w:t>
      </w:r>
      <w:hyperlink r:id="rId33">
        <w:r>
          <w:rPr>
            <w:color w:val="231F20"/>
            <w:sz w:val="15"/>
          </w:rPr>
          <w:t>&lt;http://www.unis.unvienna.org/unis/pressrels/2005/sgsm10145.html&gt;.</w:t>
        </w:r>
      </w:hyperlink>
      <w:r>
        <w:rPr>
          <w:color w:val="231F20"/>
          <w:w w:val="99"/>
          <w:sz w:val="15"/>
        </w:rPr>
        <w:t> </w:t>
      </w:r>
      <w:r>
        <w:rPr>
          <w:rFonts w:ascii="Adobe Jenson Pro Lt Capt" w:hAnsi="Adobe Jenson Pro Lt Capt"/>
          <w:b w:val="0"/>
          <w:color w:val="231F20"/>
          <w:position w:val="4"/>
          <w:sz w:val="12"/>
        </w:rPr>
        <w:t>73</w:t>
      </w:r>
      <w:r>
        <w:rPr>
          <w:rFonts w:ascii="Adobe Jenson Pro Lt Capt" w:hAnsi="Adobe Jenson Pro Lt Capt"/>
          <w:b w:val="0"/>
          <w:color w:val="231F20"/>
          <w:spacing w:val="4"/>
          <w:position w:val="4"/>
          <w:sz w:val="12"/>
        </w:rPr>
        <w:t> </w:t>
      </w:r>
      <w:r>
        <w:rPr>
          <w:color w:val="231F20"/>
          <w:sz w:val="15"/>
        </w:rPr>
        <w:t>Brookings–Bern</w:t>
      </w:r>
      <w:r>
        <w:rPr>
          <w:color w:val="231F20"/>
          <w:spacing w:val="14"/>
          <w:sz w:val="15"/>
        </w:rPr>
        <w:t> </w:t>
      </w:r>
      <w:r>
        <w:rPr>
          <w:color w:val="231F20"/>
          <w:sz w:val="15"/>
        </w:rPr>
        <w:t>Project</w:t>
      </w:r>
      <w:r>
        <w:rPr>
          <w:color w:val="231F20"/>
          <w:spacing w:val="14"/>
          <w:sz w:val="15"/>
        </w:rPr>
        <w:t> </w:t>
      </w:r>
      <w:r>
        <w:rPr>
          <w:color w:val="231F20"/>
          <w:sz w:val="15"/>
        </w:rPr>
        <w:t>on</w:t>
      </w:r>
      <w:r>
        <w:rPr>
          <w:color w:val="231F20"/>
          <w:spacing w:val="14"/>
          <w:sz w:val="15"/>
        </w:rPr>
        <w:t> </w:t>
      </w:r>
      <w:r>
        <w:rPr>
          <w:color w:val="231F20"/>
          <w:sz w:val="15"/>
        </w:rPr>
        <w:t>Internal</w:t>
      </w:r>
      <w:r>
        <w:rPr>
          <w:color w:val="231F20"/>
          <w:spacing w:val="14"/>
          <w:sz w:val="15"/>
        </w:rPr>
        <w:t> </w:t>
      </w:r>
      <w:r>
        <w:rPr>
          <w:color w:val="231F20"/>
          <w:sz w:val="15"/>
        </w:rPr>
        <w:t>Displacement,</w:t>
      </w:r>
      <w:r>
        <w:rPr>
          <w:color w:val="231F20"/>
          <w:spacing w:val="15"/>
          <w:sz w:val="15"/>
        </w:rPr>
        <w:t> </w:t>
      </w:r>
      <w:r>
        <w:rPr>
          <w:i/>
          <w:color w:val="231F20"/>
          <w:sz w:val="15"/>
        </w:rPr>
        <w:t>Addressing</w:t>
      </w:r>
      <w:r>
        <w:rPr>
          <w:i/>
          <w:color w:val="231F20"/>
          <w:spacing w:val="14"/>
          <w:sz w:val="15"/>
        </w:rPr>
        <w:t> </w:t>
      </w:r>
      <w:r>
        <w:rPr>
          <w:i/>
          <w:color w:val="231F20"/>
          <w:sz w:val="15"/>
        </w:rPr>
        <w:t>Internal</w:t>
      </w:r>
      <w:r>
        <w:rPr>
          <w:i/>
          <w:color w:val="231F20"/>
          <w:spacing w:val="14"/>
          <w:sz w:val="15"/>
        </w:rPr>
        <w:t> </w:t>
      </w:r>
      <w:r>
        <w:rPr>
          <w:i/>
          <w:color w:val="231F20"/>
          <w:sz w:val="15"/>
        </w:rPr>
        <w:t>Displacement</w:t>
      </w:r>
      <w:r>
        <w:rPr>
          <w:i/>
          <w:color w:val="231F20"/>
          <w:spacing w:val="14"/>
          <w:sz w:val="15"/>
        </w:rPr>
        <w:t> </w:t>
      </w:r>
      <w:r>
        <w:rPr>
          <w:i/>
          <w:color w:val="231F20"/>
          <w:sz w:val="15"/>
        </w:rPr>
        <w:t>in</w:t>
      </w:r>
      <w:r>
        <w:rPr>
          <w:i/>
          <w:color w:val="231F20"/>
          <w:spacing w:val="14"/>
          <w:sz w:val="15"/>
        </w:rPr>
        <w:t> </w:t>
      </w:r>
      <w:r>
        <w:rPr>
          <w:i/>
          <w:color w:val="231F20"/>
          <w:sz w:val="15"/>
        </w:rPr>
        <w:t>Peace</w:t>
      </w:r>
      <w:r>
        <w:rPr>
          <w:i/>
          <w:color w:val="231F20"/>
          <w:w w:val="107"/>
          <w:sz w:val="15"/>
        </w:rPr>
        <w:t> </w:t>
      </w:r>
      <w:r>
        <w:rPr>
          <w:i/>
          <w:color w:val="231F20"/>
          <w:sz w:val="15"/>
        </w:rPr>
        <w:t>Processes,</w:t>
      </w:r>
      <w:r>
        <w:rPr>
          <w:i/>
          <w:color w:val="231F20"/>
          <w:spacing w:val="8"/>
          <w:sz w:val="15"/>
        </w:rPr>
        <w:t> </w:t>
      </w:r>
      <w:r>
        <w:rPr>
          <w:i/>
          <w:color w:val="231F20"/>
          <w:sz w:val="15"/>
        </w:rPr>
        <w:t>Peace</w:t>
      </w:r>
      <w:r>
        <w:rPr>
          <w:i/>
          <w:color w:val="231F20"/>
          <w:spacing w:val="8"/>
          <w:sz w:val="15"/>
        </w:rPr>
        <w:t> </w:t>
      </w:r>
      <w:r>
        <w:rPr>
          <w:i/>
          <w:color w:val="231F20"/>
          <w:sz w:val="15"/>
        </w:rPr>
        <w:t>Agreements</w:t>
      </w:r>
      <w:r>
        <w:rPr>
          <w:i/>
          <w:color w:val="231F20"/>
          <w:spacing w:val="8"/>
          <w:sz w:val="15"/>
        </w:rPr>
        <w:t> </w:t>
      </w:r>
      <w:r>
        <w:rPr>
          <w:i/>
          <w:color w:val="231F20"/>
          <w:sz w:val="15"/>
        </w:rPr>
        <w:t>and</w:t>
      </w:r>
      <w:r>
        <w:rPr>
          <w:i/>
          <w:color w:val="231F20"/>
          <w:spacing w:val="8"/>
          <w:sz w:val="15"/>
        </w:rPr>
        <w:t> </w:t>
      </w:r>
      <w:r>
        <w:rPr>
          <w:i/>
          <w:color w:val="231F20"/>
          <w:sz w:val="15"/>
        </w:rPr>
        <w:t>Peace-Building</w:t>
      </w:r>
      <w:r>
        <w:rPr>
          <w:i/>
          <w:color w:val="231F20"/>
          <w:spacing w:val="10"/>
          <w:sz w:val="15"/>
        </w:rPr>
        <w:t> </w:t>
      </w:r>
      <w:r>
        <w:rPr>
          <w:color w:val="231F20"/>
          <w:sz w:val="15"/>
        </w:rPr>
        <w:t>(Brookings–Bern</w:t>
      </w:r>
      <w:r>
        <w:rPr>
          <w:color w:val="231F20"/>
          <w:spacing w:val="8"/>
          <w:sz w:val="15"/>
        </w:rPr>
        <w:t> </w:t>
      </w:r>
      <w:r>
        <w:rPr>
          <w:color w:val="231F20"/>
          <w:sz w:val="15"/>
        </w:rPr>
        <w:t>Project</w:t>
      </w:r>
      <w:r>
        <w:rPr>
          <w:color w:val="231F20"/>
          <w:spacing w:val="8"/>
          <w:sz w:val="15"/>
        </w:rPr>
        <w:t> </w:t>
      </w:r>
      <w:r>
        <w:rPr>
          <w:color w:val="231F20"/>
          <w:sz w:val="15"/>
        </w:rPr>
        <w:t>on</w:t>
      </w:r>
      <w:r>
        <w:rPr>
          <w:color w:val="231F20"/>
          <w:spacing w:val="9"/>
          <w:sz w:val="15"/>
        </w:rPr>
        <w:t> </w:t>
      </w:r>
      <w:r>
        <w:rPr>
          <w:color w:val="231F20"/>
          <w:sz w:val="15"/>
        </w:rPr>
        <w:t>Internal</w:t>
      </w:r>
      <w:r>
        <w:rPr>
          <w:color w:val="231F20"/>
          <w:spacing w:val="8"/>
          <w:sz w:val="15"/>
        </w:rPr>
        <w:t> </w:t>
      </w:r>
      <w:r>
        <w:rPr>
          <w:color w:val="231F20"/>
          <w:sz w:val="15"/>
        </w:rPr>
        <w:t>Displacement:</w:t>
      </w:r>
    </w:p>
    <w:p>
      <w:pPr>
        <w:spacing w:line="175" w:lineRule="exact" w:before="0"/>
        <w:ind w:left="100" w:right="0" w:firstLine="0"/>
        <w:jc w:val="both"/>
        <w:rPr>
          <w:rFonts w:ascii="Palatino Linotype"/>
          <w:sz w:val="15"/>
        </w:rPr>
      </w:pPr>
      <w:r>
        <w:rPr>
          <w:rFonts w:ascii="Palatino Linotype"/>
          <w:color w:val="231F20"/>
          <w:sz w:val="15"/>
        </w:rPr>
        <w:t>Washington, DC, Sep. 2007), p. 2.</w:t>
      </w:r>
    </w:p>
    <w:p>
      <w:pPr>
        <w:pStyle w:val="ListParagraph"/>
        <w:numPr>
          <w:ilvl w:val="0"/>
          <w:numId w:val="4"/>
        </w:numPr>
        <w:tabs>
          <w:tab w:pos="440" w:val="left" w:leader="none"/>
        </w:tabs>
        <w:spacing w:line="213" w:lineRule="auto" w:before="3" w:after="0"/>
        <w:ind w:left="100" w:right="120" w:firstLine="182"/>
        <w:jc w:val="both"/>
        <w:rPr>
          <w:sz w:val="15"/>
        </w:rPr>
      </w:pPr>
      <w:r>
        <w:rPr>
          <w:color w:val="231F20"/>
          <w:sz w:val="15"/>
        </w:rPr>
        <w:t>See Williams, R., ‘Post-conﬂict property restitution and refugee return in Bosnia and Herze- govina:</w:t>
      </w:r>
      <w:r>
        <w:rPr>
          <w:color w:val="231F20"/>
          <w:spacing w:val="-7"/>
          <w:sz w:val="15"/>
        </w:rPr>
        <w:t> </w:t>
      </w:r>
      <w:r>
        <w:rPr>
          <w:color w:val="231F20"/>
          <w:sz w:val="15"/>
        </w:rPr>
        <w:t>implications</w:t>
      </w:r>
      <w:r>
        <w:rPr>
          <w:color w:val="231F20"/>
          <w:spacing w:val="-6"/>
          <w:sz w:val="15"/>
        </w:rPr>
        <w:t> </w:t>
      </w:r>
      <w:r>
        <w:rPr>
          <w:color w:val="231F20"/>
          <w:sz w:val="15"/>
        </w:rPr>
        <w:t>for</w:t>
      </w:r>
      <w:r>
        <w:rPr>
          <w:color w:val="231F20"/>
          <w:spacing w:val="-7"/>
          <w:sz w:val="15"/>
        </w:rPr>
        <w:t> </w:t>
      </w:r>
      <w:r>
        <w:rPr>
          <w:color w:val="231F20"/>
          <w:sz w:val="15"/>
        </w:rPr>
        <w:t>international</w:t>
      </w:r>
      <w:r>
        <w:rPr>
          <w:color w:val="231F20"/>
          <w:spacing w:val="-6"/>
          <w:sz w:val="15"/>
        </w:rPr>
        <w:t> </w:t>
      </w:r>
      <w:r>
        <w:rPr>
          <w:color w:val="231F20"/>
          <w:sz w:val="15"/>
        </w:rPr>
        <w:t>standard-setting</w:t>
      </w:r>
      <w:r>
        <w:rPr>
          <w:color w:val="231F20"/>
          <w:spacing w:val="-7"/>
          <w:sz w:val="15"/>
        </w:rPr>
        <w:t> </w:t>
      </w:r>
      <w:r>
        <w:rPr>
          <w:color w:val="231F20"/>
          <w:sz w:val="15"/>
        </w:rPr>
        <w:t>and</w:t>
      </w:r>
      <w:r>
        <w:rPr>
          <w:color w:val="231F20"/>
          <w:spacing w:val="-6"/>
          <w:sz w:val="15"/>
        </w:rPr>
        <w:t> </w:t>
      </w:r>
      <w:r>
        <w:rPr>
          <w:color w:val="231F20"/>
          <w:sz w:val="15"/>
        </w:rPr>
        <w:t>practice’,</w:t>
      </w:r>
      <w:r>
        <w:rPr>
          <w:color w:val="231F20"/>
          <w:spacing w:val="-6"/>
          <w:sz w:val="15"/>
        </w:rPr>
        <w:t> </w:t>
      </w:r>
      <w:r>
        <w:rPr>
          <w:i/>
          <w:color w:val="231F20"/>
          <w:sz w:val="15"/>
        </w:rPr>
        <w:t>New</w:t>
      </w:r>
      <w:r>
        <w:rPr>
          <w:i/>
          <w:color w:val="231F20"/>
          <w:spacing w:val="-5"/>
          <w:sz w:val="15"/>
        </w:rPr>
        <w:t> </w:t>
      </w:r>
      <w:r>
        <w:rPr>
          <w:i/>
          <w:color w:val="231F20"/>
          <w:sz w:val="15"/>
        </w:rPr>
        <w:t>York</w:t>
      </w:r>
      <w:r>
        <w:rPr>
          <w:i/>
          <w:color w:val="231F20"/>
          <w:spacing w:val="-6"/>
          <w:sz w:val="15"/>
        </w:rPr>
        <w:t> </w:t>
      </w:r>
      <w:r>
        <w:rPr>
          <w:i/>
          <w:color w:val="231F20"/>
          <w:sz w:val="15"/>
        </w:rPr>
        <w:t>University</w:t>
      </w:r>
      <w:r>
        <w:rPr>
          <w:i/>
          <w:color w:val="231F20"/>
          <w:spacing w:val="-5"/>
          <w:sz w:val="15"/>
        </w:rPr>
        <w:t> </w:t>
      </w:r>
      <w:r>
        <w:rPr>
          <w:i/>
          <w:color w:val="231F20"/>
          <w:sz w:val="15"/>
        </w:rPr>
        <w:t>Journal</w:t>
      </w:r>
      <w:r>
        <w:rPr>
          <w:i/>
          <w:color w:val="231F20"/>
          <w:spacing w:val="-6"/>
          <w:sz w:val="15"/>
        </w:rPr>
        <w:t> </w:t>
      </w:r>
      <w:r>
        <w:rPr>
          <w:i/>
          <w:color w:val="231F20"/>
          <w:sz w:val="15"/>
        </w:rPr>
        <w:t>of </w:t>
      </w:r>
      <w:r>
        <w:rPr>
          <w:i/>
          <w:color w:val="231F20"/>
          <w:sz w:val="15"/>
        </w:rPr>
        <w:t>International Law and Politics</w:t>
      </w:r>
      <w:r>
        <w:rPr>
          <w:color w:val="231F20"/>
          <w:sz w:val="15"/>
        </w:rPr>
        <w:t>, vol. 37, no. 3 (Mar. 2006). On the difficulties encountered in imple- menting</w:t>
      </w:r>
      <w:r>
        <w:rPr>
          <w:color w:val="231F20"/>
          <w:spacing w:val="-5"/>
          <w:sz w:val="15"/>
        </w:rPr>
        <w:t> </w:t>
      </w:r>
      <w:r>
        <w:rPr>
          <w:color w:val="231F20"/>
          <w:sz w:val="15"/>
        </w:rPr>
        <w:t>the</w:t>
      </w:r>
      <w:r>
        <w:rPr>
          <w:color w:val="231F20"/>
          <w:spacing w:val="-5"/>
          <w:sz w:val="15"/>
        </w:rPr>
        <w:t> </w:t>
      </w:r>
      <w:r>
        <w:rPr>
          <w:color w:val="231F20"/>
          <w:sz w:val="15"/>
        </w:rPr>
        <w:t>Dayton</w:t>
      </w:r>
      <w:r>
        <w:rPr>
          <w:color w:val="231F20"/>
          <w:spacing w:val="-5"/>
          <w:sz w:val="15"/>
        </w:rPr>
        <w:t> </w:t>
      </w:r>
      <w:r>
        <w:rPr>
          <w:color w:val="231F20"/>
          <w:sz w:val="15"/>
        </w:rPr>
        <w:t>Accords</w:t>
      </w:r>
      <w:r>
        <w:rPr>
          <w:color w:val="231F20"/>
          <w:spacing w:val="-5"/>
          <w:sz w:val="15"/>
        </w:rPr>
        <w:t> </w:t>
      </w:r>
      <w:r>
        <w:rPr>
          <w:color w:val="231F20"/>
          <w:sz w:val="15"/>
        </w:rPr>
        <w:t>see</w:t>
      </w:r>
      <w:r>
        <w:rPr>
          <w:color w:val="231F20"/>
          <w:spacing w:val="-5"/>
          <w:sz w:val="15"/>
        </w:rPr>
        <w:t> </w:t>
      </w:r>
      <w:r>
        <w:rPr>
          <w:color w:val="231F20"/>
          <w:sz w:val="15"/>
        </w:rPr>
        <w:t>note</w:t>
      </w:r>
      <w:r>
        <w:rPr>
          <w:color w:val="231F20"/>
          <w:spacing w:val="-4"/>
          <w:sz w:val="15"/>
        </w:rPr>
        <w:t> </w:t>
      </w:r>
      <w:r>
        <w:rPr>
          <w:color w:val="231F20"/>
          <w:sz w:val="15"/>
        </w:rPr>
        <w:t>31.</w:t>
      </w:r>
    </w:p>
    <w:p>
      <w:pPr>
        <w:spacing w:after="0" w:line="213" w:lineRule="auto"/>
        <w:jc w:val="both"/>
        <w:rPr>
          <w:sz w:val="15"/>
        </w:rPr>
        <w:sectPr>
          <w:pgSz w:w="8850" w:h="13270"/>
          <w:pgMar w:header="752" w:footer="0" w:top="1080" w:bottom="280" w:left="1080" w:right="1060"/>
        </w:sectPr>
      </w:pPr>
    </w:p>
    <w:p>
      <w:pPr>
        <w:pStyle w:val="BodyText"/>
        <w:spacing w:line="278" w:lineRule="auto" w:before="141"/>
        <w:ind w:right="117" w:firstLine="180"/>
        <w:rPr>
          <w:rFonts w:ascii="Adobe Jenson Pro Lt Capt"/>
          <w:b w:val="0"/>
          <w:sz w:val="12"/>
        </w:rPr>
      </w:pPr>
      <w:r>
        <w:rPr>
          <w:color w:val="231F20"/>
        </w:rPr>
        <w:t>However, the 2006 Darfur Peace Agreement (DPA) signed by the Sudan- ese Government and one rebel faction did not even get that far.  It  was hastily negotiated, failed to set up acceptable wealth and power-sharing arrangements and did not make adequate security arrangements for the displaced. It was rejected by the main rebel groups and most of the dis- placed population, leading to more violence in</w:t>
      </w:r>
      <w:r>
        <w:rPr>
          <w:color w:val="231F20"/>
          <w:spacing w:val="6"/>
        </w:rPr>
        <w:t> </w:t>
      </w:r>
      <w:r>
        <w:rPr>
          <w:color w:val="231F20"/>
        </w:rPr>
        <w:t>Darfur.</w:t>
      </w:r>
      <w:r>
        <w:rPr>
          <w:rFonts w:ascii="Adobe Jenson Pro Lt Capt"/>
          <w:b w:val="0"/>
          <w:color w:val="231F20"/>
          <w:position w:val="6"/>
          <w:sz w:val="12"/>
        </w:rPr>
        <w:t>75</w:t>
      </w:r>
    </w:p>
    <w:p>
      <w:pPr>
        <w:pStyle w:val="BodyText"/>
        <w:spacing w:line="278" w:lineRule="auto"/>
        <w:ind w:right="119" w:firstLine="180"/>
      </w:pPr>
      <w:r>
        <w:rPr>
          <w:color w:val="231F20"/>
        </w:rPr>
        <w:t>This failure brought to light the importance of consulting with displaced persons and incorporating their needs into peace processes. Had such con- sultations taken place in Darfur, the government might not have offered as little as $30 million in compensation to war-affected persons (an estimated</w:t>
      </w:r>
    </w:p>
    <w:p>
      <w:pPr>
        <w:pStyle w:val="BodyText"/>
        <w:spacing w:line="278" w:lineRule="auto"/>
        <w:ind w:right="117"/>
        <w:rPr>
          <w:rFonts w:ascii="Adobe Jenson Pro Lt Capt"/>
          <w:b w:val="0"/>
          <w:sz w:val="12"/>
        </w:rPr>
      </w:pPr>
      <w:r>
        <w:rPr>
          <w:color w:val="231F20"/>
        </w:rPr>
        <w:t>$7.89 per person) and more attention would have been paid to guarantee- ing safety for the displaced when returning home.</w:t>
      </w:r>
      <w:r>
        <w:rPr>
          <w:rFonts w:ascii="Adobe Jenson Pro Lt Capt"/>
          <w:b w:val="0"/>
          <w:color w:val="231F20"/>
          <w:position w:val="6"/>
          <w:sz w:val="12"/>
        </w:rPr>
        <w:t>76  </w:t>
      </w:r>
      <w:r>
        <w:rPr>
          <w:color w:val="231F20"/>
        </w:rPr>
        <w:t>Consulting with IDPs  can avert violence, prevent the continued exploitation and abuse of those uprooted, create an environment of greater trust with the local population and promote the recovery of local economies.</w:t>
      </w:r>
      <w:r>
        <w:rPr>
          <w:rFonts w:ascii="Adobe Jenson Pro Lt Capt"/>
          <w:b w:val="0"/>
          <w:color w:val="231F20"/>
          <w:position w:val="6"/>
          <w:sz w:val="12"/>
        </w:rPr>
        <w:t>77  </w:t>
      </w:r>
      <w:r>
        <w:rPr>
          <w:color w:val="231F20"/>
        </w:rPr>
        <w:t>Moreover, given the scale     of displacement in many countries, it is unrealistic to plan for a stable and peaceful future without involving IDPs and returning refugees in dis- cussions.</w:t>
      </w:r>
      <w:r>
        <w:rPr>
          <w:rFonts w:ascii="Adobe Jenson Pro Lt Capt"/>
          <w:b w:val="0"/>
          <w:color w:val="231F20"/>
          <w:position w:val="6"/>
          <w:sz w:val="12"/>
        </w:rPr>
        <w:t>78</w:t>
      </w:r>
    </w:p>
    <w:p>
      <w:pPr>
        <w:pStyle w:val="BodyText"/>
        <w:spacing w:line="268" w:lineRule="auto"/>
        <w:ind w:right="119" w:firstLine="180"/>
      </w:pPr>
      <w:r>
        <w:rPr>
          <w:color w:val="231F20"/>
        </w:rPr>
        <w:t>Second, UN agencies must have as a central goal the assumption by governments of their responsibility towards displaced populations. To pro- mote greater national responsibility, Kälin has introduced benchmarks that include:  </w:t>
      </w:r>
      <w:r>
        <w:rPr>
          <w:color w:val="231F20"/>
          <w:spacing w:val="17"/>
        </w:rPr>
        <w:t> </w:t>
      </w:r>
      <w:r>
        <w:rPr>
          <w:color w:val="231F20"/>
        </w:rPr>
        <w:t>(</w:t>
      </w:r>
      <w:r>
        <w:rPr>
          <w:rFonts w:ascii="Palatino Linotype" w:hAnsi="Palatino Linotype"/>
          <w:i/>
          <w:color w:val="231F20"/>
        </w:rPr>
        <w:t>a</w:t>
      </w:r>
      <w:r>
        <w:rPr>
          <w:color w:val="231F20"/>
        </w:rPr>
        <w:t>)  </w:t>
      </w:r>
      <w:r>
        <w:rPr>
          <w:color w:val="231F20"/>
          <w:spacing w:val="19"/>
        </w:rPr>
        <w:t> </w:t>
      </w:r>
      <w:r>
        <w:rPr>
          <w:color w:val="231F20"/>
        </w:rPr>
        <w:t>preventive  </w:t>
      </w:r>
      <w:r>
        <w:rPr>
          <w:color w:val="231F20"/>
          <w:spacing w:val="19"/>
        </w:rPr>
        <w:t> </w:t>
      </w:r>
      <w:r>
        <w:rPr>
          <w:color w:val="231F20"/>
        </w:rPr>
        <w:t>steps,  </w:t>
      </w:r>
      <w:r>
        <w:rPr>
          <w:color w:val="231F20"/>
          <w:spacing w:val="19"/>
        </w:rPr>
        <w:t> </w:t>
      </w:r>
      <w:r>
        <w:rPr>
          <w:color w:val="231F20"/>
        </w:rPr>
        <w:t>in  </w:t>
      </w:r>
      <w:r>
        <w:rPr>
          <w:color w:val="231F20"/>
          <w:spacing w:val="19"/>
        </w:rPr>
        <w:t> </w:t>
      </w:r>
      <w:r>
        <w:rPr>
          <w:color w:val="231F20"/>
        </w:rPr>
        <w:t>particular  </w:t>
      </w:r>
      <w:r>
        <w:rPr>
          <w:color w:val="231F20"/>
          <w:spacing w:val="19"/>
        </w:rPr>
        <w:t> </w:t>
      </w:r>
      <w:r>
        <w:rPr>
          <w:color w:val="231F20"/>
        </w:rPr>
        <w:t>early-warning  </w:t>
      </w:r>
      <w:r>
        <w:rPr>
          <w:color w:val="231F20"/>
          <w:spacing w:val="19"/>
        </w:rPr>
        <w:t> </w:t>
      </w:r>
      <w:r>
        <w:rPr>
          <w:color w:val="231F20"/>
        </w:rPr>
        <w:t>and  </w:t>
      </w:r>
      <w:r>
        <w:rPr>
          <w:color w:val="231F20"/>
          <w:spacing w:val="19"/>
        </w:rPr>
        <w:t> </w:t>
      </w:r>
      <w:r>
        <w:rPr>
          <w:color w:val="231F20"/>
        </w:rPr>
        <w:t>rapid</w:t>
      </w:r>
    </w:p>
    <w:p>
      <w:pPr>
        <w:pStyle w:val="BodyText"/>
        <w:spacing w:line="217" w:lineRule="exact"/>
      </w:pPr>
      <w:r>
        <w:rPr>
          <w:color w:val="231F20"/>
        </w:rPr>
        <w:t>response </w:t>
      </w:r>
      <w:r>
        <w:rPr>
          <w:color w:val="231F20"/>
          <w:spacing w:val="19"/>
        </w:rPr>
        <w:t> </w:t>
      </w:r>
      <w:r>
        <w:rPr>
          <w:color w:val="231F20"/>
        </w:rPr>
        <w:t>mechanisms </w:t>
      </w:r>
      <w:r>
        <w:rPr>
          <w:color w:val="231F20"/>
          <w:spacing w:val="20"/>
        </w:rPr>
        <w:t> </w:t>
      </w:r>
      <w:r>
        <w:rPr>
          <w:color w:val="231F20"/>
        </w:rPr>
        <w:t>to </w:t>
      </w:r>
      <w:r>
        <w:rPr>
          <w:color w:val="231F20"/>
          <w:spacing w:val="20"/>
        </w:rPr>
        <w:t> </w:t>
      </w:r>
      <w:r>
        <w:rPr>
          <w:color w:val="231F20"/>
        </w:rPr>
        <w:t>protect </w:t>
      </w:r>
      <w:r>
        <w:rPr>
          <w:color w:val="231F20"/>
          <w:spacing w:val="20"/>
        </w:rPr>
        <w:t> </w:t>
      </w:r>
      <w:r>
        <w:rPr>
          <w:color w:val="231F20"/>
        </w:rPr>
        <w:t>populations </w:t>
      </w:r>
      <w:r>
        <w:rPr>
          <w:color w:val="231F20"/>
          <w:spacing w:val="20"/>
        </w:rPr>
        <w:t> </w:t>
      </w:r>
      <w:r>
        <w:rPr>
          <w:color w:val="231F20"/>
        </w:rPr>
        <w:t>under </w:t>
      </w:r>
      <w:r>
        <w:rPr>
          <w:color w:val="231F20"/>
          <w:spacing w:val="20"/>
        </w:rPr>
        <w:t> </w:t>
      </w:r>
      <w:r>
        <w:rPr>
          <w:color w:val="231F20"/>
        </w:rPr>
        <w:t>threat; </w:t>
      </w:r>
      <w:r>
        <w:rPr>
          <w:color w:val="231F20"/>
          <w:spacing w:val="20"/>
        </w:rPr>
        <w:t> </w:t>
      </w:r>
      <w:r>
        <w:rPr>
          <w:color w:val="231F20"/>
        </w:rPr>
        <w:t>(</w:t>
      </w:r>
      <w:r>
        <w:rPr>
          <w:rFonts w:ascii="Palatino Linotype"/>
          <w:i/>
          <w:color w:val="231F20"/>
        </w:rPr>
        <w:t>b</w:t>
      </w:r>
      <w:r>
        <w:rPr>
          <w:color w:val="231F20"/>
        </w:rPr>
        <w:t>) </w:t>
      </w:r>
      <w:r>
        <w:rPr>
          <w:color w:val="231F20"/>
          <w:spacing w:val="20"/>
        </w:rPr>
        <w:t> </w:t>
      </w:r>
      <w:r>
        <w:rPr>
          <w:color w:val="231F20"/>
        </w:rPr>
        <w:t>national</w:t>
      </w:r>
    </w:p>
    <w:p>
      <w:pPr>
        <w:pStyle w:val="BodyText"/>
        <w:spacing w:line="254" w:lineRule="auto" w:before="13"/>
        <w:ind w:right="119"/>
      </w:pPr>
      <w:r>
        <w:rPr>
          <w:color w:val="231F20"/>
        </w:rPr>
        <w:t>awareness campaigns that build national solidarity around the displaced so as to counteract the ethnic, racial and ideological stigmas to which IDPs     are often subject; (</w:t>
      </w:r>
      <w:r>
        <w:rPr>
          <w:rFonts w:ascii="Palatino Linotype"/>
          <w:i/>
          <w:color w:val="231F20"/>
        </w:rPr>
        <w:t>c</w:t>
      </w:r>
      <w:r>
        <w:rPr>
          <w:color w:val="231F20"/>
        </w:rPr>
        <w:t>) the adoption of national laws and policies to uphold   the</w:t>
      </w:r>
      <w:r>
        <w:rPr>
          <w:color w:val="231F20"/>
          <w:spacing w:val="15"/>
        </w:rPr>
        <w:t> </w:t>
      </w:r>
      <w:r>
        <w:rPr>
          <w:color w:val="231F20"/>
        </w:rPr>
        <w:t>rights</w:t>
      </w:r>
      <w:r>
        <w:rPr>
          <w:color w:val="231F20"/>
          <w:spacing w:val="15"/>
        </w:rPr>
        <w:t> </w:t>
      </w:r>
      <w:r>
        <w:rPr>
          <w:color w:val="231F20"/>
        </w:rPr>
        <w:t>of</w:t>
      </w:r>
      <w:r>
        <w:rPr>
          <w:color w:val="231F20"/>
          <w:spacing w:val="15"/>
        </w:rPr>
        <w:t> </w:t>
      </w:r>
      <w:r>
        <w:rPr>
          <w:color w:val="231F20"/>
        </w:rPr>
        <w:t>the</w:t>
      </w:r>
      <w:r>
        <w:rPr>
          <w:color w:val="231F20"/>
          <w:spacing w:val="15"/>
        </w:rPr>
        <w:t> </w:t>
      </w:r>
      <w:r>
        <w:rPr>
          <w:color w:val="231F20"/>
        </w:rPr>
        <w:t>displaced;</w:t>
      </w:r>
      <w:r>
        <w:rPr>
          <w:rFonts w:ascii="Adobe Jenson Pro Lt Capt"/>
          <w:b w:val="0"/>
          <w:color w:val="231F20"/>
          <w:position w:val="6"/>
          <w:sz w:val="12"/>
        </w:rPr>
        <w:t>79 </w:t>
      </w:r>
      <w:r>
        <w:rPr>
          <w:rFonts w:ascii="Adobe Jenson Pro Lt Capt"/>
          <w:b w:val="0"/>
          <w:color w:val="231F20"/>
          <w:spacing w:val="3"/>
          <w:position w:val="6"/>
          <w:sz w:val="12"/>
        </w:rPr>
        <w:t> </w:t>
      </w:r>
      <w:r>
        <w:rPr>
          <w:color w:val="231F20"/>
        </w:rPr>
        <w:t>(</w:t>
      </w:r>
      <w:r>
        <w:rPr>
          <w:rFonts w:ascii="Palatino Linotype"/>
          <w:i/>
          <w:color w:val="231F20"/>
        </w:rPr>
        <w:t>d</w:t>
      </w:r>
      <w:r>
        <w:rPr>
          <w:rFonts w:ascii="Palatino Linotype"/>
          <w:i/>
          <w:color w:val="231F20"/>
          <w:spacing w:val="-22"/>
        </w:rPr>
        <w:t> </w:t>
      </w:r>
      <w:r>
        <w:rPr>
          <w:color w:val="231F20"/>
        </w:rPr>
        <w:t>)</w:t>
      </w:r>
      <w:r>
        <w:rPr>
          <w:color w:val="231F20"/>
          <w:spacing w:val="15"/>
        </w:rPr>
        <w:t> </w:t>
      </w:r>
      <w:r>
        <w:rPr>
          <w:color w:val="231F20"/>
        </w:rPr>
        <w:t>the</w:t>
      </w:r>
      <w:r>
        <w:rPr>
          <w:color w:val="231F20"/>
          <w:spacing w:val="15"/>
        </w:rPr>
        <w:t> </w:t>
      </w:r>
      <w:r>
        <w:rPr>
          <w:color w:val="231F20"/>
        </w:rPr>
        <w:t>designation</w:t>
      </w:r>
      <w:r>
        <w:rPr>
          <w:color w:val="231F20"/>
          <w:spacing w:val="15"/>
        </w:rPr>
        <w:t> </w:t>
      </w:r>
      <w:r>
        <w:rPr>
          <w:color w:val="231F20"/>
        </w:rPr>
        <w:t>of</w:t>
      </w:r>
      <w:r>
        <w:rPr>
          <w:color w:val="231F20"/>
          <w:spacing w:val="16"/>
        </w:rPr>
        <w:t> </w:t>
      </w:r>
      <w:r>
        <w:rPr>
          <w:color w:val="231F20"/>
        </w:rPr>
        <w:t>state</w:t>
      </w:r>
      <w:r>
        <w:rPr>
          <w:color w:val="231F20"/>
          <w:spacing w:val="15"/>
        </w:rPr>
        <w:t> </w:t>
      </w:r>
      <w:r>
        <w:rPr>
          <w:color w:val="231F20"/>
        </w:rPr>
        <w:t>offices</w:t>
      </w:r>
      <w:r>
        <w:rPr>
          <w:color w:val="231F20"/>
          <w:spacing w:val="15"/>
        </w:rPr>
        <w:t> </w:t>
      </w:r>
      <w:r>
        <w:rPr>
          <w:color w:val="231F20"/>
        </w:rPr>
        <w:t>to</w:t>
      </w:r>
      <w:r>
        <w:rPr>
          <w:color w:val="231F20"/>
          <w:spacing w:val="15"/>
        </w:rPr>
        <w:t> </w:t>
      </w:r>
      <w:r>
        <w:rPr>
          <w:color w:val="231F20"/>
        </w:rPr>
        <w:t>carry</w:t>
      </w:r>
      <w:r>
        <w:rPr>
          <w:color w:val="231F20"/>
          <w:spacing w:val="15"/>
        </w:rPr>
        <w:t> </w:t>
      </w:r>
      <w:r>
        <w:rPr>
          <w:color w:val="231F20"/>
        </w:rPr>
        <w:t>out</w:t>
      </w:r>
    </w:p>
    <w:p>
      <w:pPr>
        <w:pStyle w:val="BodyText"/>
        <w:spacing w:line="225" w:lineRule="exact"/>
      </w:pPr>
      <w:r>
        <w:rPr>
          <w:color w:val="231F20"/>
        </w:rPr>
        <w:t>the </w:t>
      </w:r>
      <w:r>
        <w:rPr>
          <w:color w:val="231F20"/>
          <w:spacing w:val="8"/>
        </w:rPr>
        <w:t> </w:t>
      </w:r>
      <w:r>
        <w:rPr>
          <w:color w:val="231F20"/>
        </w:rPr>
        <w:t>laws </w:t>
      </w:r>
      <w:r>
        <w:rPr>
          <w:color w:val="231F20"/>
          <w:spacing w:val="9"/>
        </w:rPr>
        <w:t> </w:t>
      </w:r>
      <w:r>
        <w:rPr>
          <w:color w:val="231F20"/>
        </w:rPr>
        <w:t>and </w:t>
      </w:r>
      <w:r>
        <w:rPr>
          <w:color w:val="231F20"/>
          <w:spacing w:val="9"/>
        </w:rPr>
        <w:t> </w:t>
      </w:r>
      <w:r>
        <w:rPr>
          <w:color w:val="231F20"/>
        </w:rPr>
        <w:t>policies; </w:t>
      </w:r>
      <w:r>
        <w:rPr>
          <w:color w:val="231F20"/>
          <w:spacing w:val="8"/>
        </w:rPr>
        <w:t> </w:t>
      </w:r>
      <w:r>
        <w:rPr>
          <w:color w:val="231F20"/>
        </w:rPr>
        <w:t>(</w:t>
      </w:r>
      <w:r>
        <w:rPr>
          <w:rFonts w:ascii="Palatino Linotype"/>
          <w:i/>
          <w:color w:val="231F20"/>
        </w:rPr>
        <w:t>e</w:t>
      </w:r>
      <w:r>
        <w:rPr>
          <w:color w:val="231F20"/>
        </w:rPr>
        <w:t>) </w:t>
      </w:r>
      <w:r>
        <w:rPr>
          <w:color w:val="231F20"/>
          <w:spacing w:val="9"/>
        </w:rPr>
        <w:t> </w:t>
      </w:r>
      <w:r>
        <w:rPr>
          <w:color w:val="231F20"/>
        </w:rPr>
        <w:t>the </w:t>
      </w:r>
      <w:r>
        <w:rPr>
          <w:color w:val="231F20"/>
          <w:spacing w:val="9"/>
        </w:rPr>
        <w:t> </w:t>
      </w:r>
      <w:r>
        <w:rPr>
          <w:color w:val="231F20"/>
        </w:rPr>
        <w:t>allocation </w:t>
      </w:r>
      <w:r>
        <w:rPr>
          <w:color w:val="231F20"/>
          <w:spacing w:val="8"/>
        </w:rPr>
        <w:t> </w:t>
      </w:r>
      <w:r>
        <w:rPr>
          <w:color w:val="231F20"/>
        </w:rPr>
        <w:t>of </w:t>
      </w:r>
      <w:r>
        <w:rPr>
          <w:color w:val="231F20"/>
          <w:spacing w:val="9"/>
        </w:rPr>
        <w:t> </w:t>
      </w:r>
      <w:r>
        <w:rPr>
          <w:color w:val="231F20"/>
        </w:rPr>
        <w:t>adequate </w:t>
      </w:r>
      <w:r>
        <w:rPr>
          <w:color w:val="231F20"/>
          <w:spacing w:val="9"/>
        </w:rPr>
        <w:t> </w:t>
      </w:r>
      <w:r>
        <w:rPr>
          <w:color w:val="231F20"/>
        </w:rPr>
        <w:t>national </w:t>
      </w:r>
      <w:r>
        <w:rPr>
          <w:color w:val="231F20"/>
          <w:spacing w:val="9"/>
        </w:rPr>
        <w:t> </w:t>
      </w:r>
      <w:r>
        <w:rPr>
          <w:color w:val="231F20"/>
        </w:rPr>
        <w:t>resources;</w:t>
      </w:r>
    </w:p>
    <w:p>
      <w:pPr>
        <w:pStyle w:val="BodyText"/>
        <w:spacing w:line="264" w:lineRule="auto"/>
        <w:ind w:right="120"/>
      </w:pPr>
      <w:r>
        <w:rPr>
          <w:color w:val="231F20"/>
        </w:rPr>
        <w:t>( </w:t>
      </w:r>
      <w:r>
        <w:rPr>
          <w:rFonts w:ascii="Palatino Linotype" w:hAnsi="Palatino Linotype"/>
          <w:i/>
          <w:color w:val="231F20"/>
        </w:rPr>
        <w:t>f </w:t>
      </w:r>
      <w:r>
        <w:rPr>
          <w:color w:val="231F20"/>
        </w:rPr>
        <w:t>) the ﬁnding of solutions for the displaced that include safe and sustain- able returns, integration where they currently reside or their resettlement    in another part of the country (the obligation to integrate or resettle IDPs should</w:t>
      </w:r>
      <w:r>
        <w:rPr>
          <w:color w:val="231F20"/>
          <w:spacing w:val="30"/>
        </w:rPr>
        <w:t> </w:t>
      </w:r>
      <w:r>
        <w:rPr>
          <w:color w:val="231F20"/>
        </w:rPr>
        <w:t>be</w:t>
      </w:r>
      <w:r>
        <w:rPr>
          <w:color w:val="231F20"/>
          <w:spacing w:val="30"/>
        </w:rPr>
        <w:t> </w:t>
      </w:r>
      <w:r>
        <w:rPr>
          <w:color w:val="231F20"/>
        </w:rPr>
        <w:t>considered</w:t>
      </w:r>
      <w:r>
        <w:rPr>
          <w:color w:val="231F20"/>
          <w:spacing w:val="30"/>
        </w:rPr>
        <w:t> </w:t>
      </w:r>
      <w:r>
        <w:rPr>
          <w:color w:val="231F20"/>
        </w:rPr>
        <w:t>as</w:t>
      </w:r>
      <w:r>
        <w:rPr>
          <w:color w:val="231F20"/>
          <w:spacing w:val="31"/>
        </w:rPr>
        <w:t> </w:t>
      </w:r>
      <w:r>
        <w:rPr>
          <w:color w:val="231F20"/>
        </w:rPr>
        <w:t>important</w:t>
      </w:r>
      <w:r>
        <w:rPr>
          <w:color w:val="231F20"/>
          <w:spacing w:val="30"/>
        </w:rPr>
        <w:t> </w:t>
      </w:r>
      <w:r>
        <w:rPr>
          <w:color w:val="231F20"/>
        </w:rPr>
        <w:t>as</w:t>
      </w:r>
      <w:r>
        <w:rPr>
          <w:color w:val="231F20"/>
          <w:spacing w:val="30"/>
        </w:rPr>
        <w:t> </w:t>
      </w:r>
      <w:r>
        <w:rPr>
          <w:color w:val="231F20"/>
        </w:rPr>
        <w:t>the</w:t>
      </w:r>
      <w:r>
        <w:rPr>
          <w:color w:val="231F20"/>
          <w:spacing w:val="30"/>
        </w:rPr>
        <w:t> </w:t>
      </w:r>
      <w:r>
        <w:rPr>
          <w:color w:val="231F20"/>
        </w:rPr>
        <w:t>right</w:t>
      </w:r>
      <w:r>
        <w:rPr>
          <w:color w:val="231F20"/>
          <w:spacing w:val="31"/>
        </w:rPr>
        <w:t> </w:t>
      </w:r>
      <w:r>
        <w:rPr>
          <w:color w:val="231F20"/>
        </w:rPr>
        <w:t>to</w:t>
      </w:r>
      <w:r>
        <w:rPr>
          <w:color w:val="231F20"/>
          <w:spacing w:val="30"/>
        </w:rPr>
        <w:t> </w:t>
      </w:r>
      <w:r>
        <w:rPr>
          <w:color w:val="231F20"/>
        </w:rPr>
        <w:t>return);</w:t>
      </w:r>
      <w:r>
        <w:rPr>
          <w:rFonts w:ascii="Adobe Jenson Pro Lt Capt" w:hAnsi="Adobe Jenson Pro Lt Capt"/>
          <w:b w:val="0"/>
          <w:color w:val="231F20"/>
          <w:position w:val="6"/>
          <w:sz w:val="12"/>
        </w:rPr>
        <w:t>80 </w:t>
      </w:r>
      <w:r>
        <w:rPr>
          <w:rFonts w:ascii="Adobe Jenson Pro Lt Capt" w:hAnsi="Adobe Jenson Pro Lt Capt"/>
          <w:b w:val="0"/>
          <w:color w:val="231F20"/>
          <w:spacing w:val="19"/>
          <w:position w:val="6"/>
          <w:sz w:val="12"/>
        </w:rPr>
        <w:t> </w:t>
      </w:r>
      <w:r>
        <w:rPr>
          <w:color w:val="231F20"/>
        </w:rPr>
        <w:t>(</w:t>
      </w:r>
      <w:r>
        <w:rPr>
          <w:rFonts w:ascii="Palatino Linotype" w:hAnsi="Palatino Linotype"/>
          <w:i/>
          <w:color w:val="231F20"/>
        </w:rPr>
        <w:t>g</w:t>
      </w:r>
      <w:r>
        <w:rPr>
          <w:color w:val="231F20"/>
        </w:rPr>
        <w:t>)</w:t>
      </w:r>
      <w:r>
        <w:rPr>
          <w:color w:val="231F20"/>
          <w:spacing w:val="31"/>
        </w:rPr>
        <w:t> </w:t>
      </w:r>
      <w:r>
        <w:rPr>
          <w:color w:val="231F20"/>
        </w:rPr>
        <w:t>assistance</w:t>
      </w:r>
    </w:p>
    <w:p>
      <w:pPr>
        <w:pStyle w:val="ListParagraph"/>
        <w:numPr>
          <w:ilvl w:val="0"/>
          <w:numId w:val="4"/>
        </w:numPr>
        <w:tabs>
          <w:tab w:pos="440" w:val="left" w:leader="none"/>
        </w:tabs>
        <w:spacing w:line="213" w:lineRule="auto" w:before="188" w:after="0"/>
        <w:ind w:left="100" w:right="121" w:firstLine="182"/>
        <w:jc w:val="both"/>
        <w:rPr>
          <w:sz w:val="15"/>
        </w:rPr>
      </w:pPr>
      <w:r>
        <w:rPr>
          <w:color w:val="231F20"/>
          <w:sz w:val="15"/>
        </w:rPr>
        <w:t>Mukhtar, A., ‘What’s missing in the Darfur peace process’, Statement at the United States Institute of Peace, Washington, DC, 24 July 2006, </w:t>
      </w:r>
      <w:hyperlink r:id="rId34">
        <w:r>
          <w:rPr>
            <w:color w:val="231F20"/>
            <w:sz w:val="15"/>
          </w:rPr>
          <w:t>&lt;http://www.usip.org/fellows/reports/2006/</w:t>
        </w:r>
      </w:hyperlink>
      <w:r>
        <w:rPr>
          <w:color w:val="231F20"/>
          <w:sz w:val="15"/>
        </w:rPr>
        <w:t> 0724_mukhtar.html&gt;; and Integrated Regional Informational Networks (IRIN), ‘Sudan: rebel fragmentation</w:t>
      </w:r>
      <w:r>
        <w:rPr>
          <w:color w:val="231F20"/>
          <w:spacing w:val="-15"/>
          <w:sz w:val="15"/>
        </w:rPr>
        <w:t> </w:t>
      </w:r>
      <w:r>
        <w:rPr>
          <w:color w:val="231F20"/>
          <w:sz w:val="15"/>
        </w:rPr>
        <w:t>hampers</w:t>
      </w:r>
      <w:r>
        <w:rPr>
          <w:color w:val="231F20"/>
          <w:spacing w:val="-15"/>
          <w:sz w:val="15"/>
        </w:rPr>
        <w:t> </w:t>
      </w:r>
      <w:r>
        <w:rPr>
          <w:color w:val="231F20"/>
          <w:sz w:val="15"/>
        </w:rPr>
        <w:t>Darfur</w:t>
      </w:r>
      <w:r>
        <w:rPr>
          <w:color w:val="231F20"/>
          <w:spacing w:val="-15"/>
          <w:sz w:val="15"/>
        </w:rPr>
        <w:t> </w:t>
      </w:r>
      <w:r>
        <w:rPr>
          <w:color w:val="231F20"/>
          <w:sz w:val="15"/>
        </w:rPr>
        <w:t>peace’,</w:t>
      </w:r>
      <w:r>
        <w:rPr>
          <w:color w:val="231F20"/>
          <w:spacing w:val="-15"/>
          <w:sz w:val="15"/>
        </w:rPr>
        <w:t> </w:t>
      </w:r>
      <w:r>
        <w:rPr>
          <w:color w:val="231F20"/>
          <w:sz w:val="15"/>
        </w:rPr>
        <w:t>11</w:t>
      </w:r>
      <w:r>
        <w:rPr>
          <w:color w:val="231F20"/>
          <w:spacing w:val="-15"/>
          <w:sz w:val="15"/>
        </w:rPr>
        <w:t> </w:t>
      </w:r>
      <w:r>
        <w:rPr>
          <w:color w:val="231F20"/>
          <w:sz w:val="15"/>
        </w:rPr>
        <w:t>Sep.</w:t>
      </w:r>
      <w:r>
        <w:rPr>
          <w:color w:val="231F20"/>
          <w:spacing w:val="-15"/>
          <w:sz w:val="15"/>
        </w:rPr>
        <w:t> </w:t>
      </w:r>
      <w:r>
        <w:rPr>
          <w:color w:val="231F20"/>
          <w:sz w:val="15"/>
        </w:rPr>
        <w:t>2006,</w:t>
      </w:r>
      <w:r>
        <w:rPr>
          <w:color w:val="231F20"/>
          <w:spacing w:val="-15"/>
          <w:sz w:val="15"/>
        </w:rPr>
        <w:t> </w:t>
      </w:r>
      <w:hyperlink r:id="rId35">
        <w:r>
          <w:rPr>
            <w:color w:val="231F20"/>
            <w:sz w:val="15"/>
          </w:rPr>
          <w:t>&lt;http://www.irinnews.org/Report.aspx?Report</w:t>
        </w:r>
      </w:hyperlink>
      <w:r>
        <w:rPr>
          <w:color w:val="231F20"/>
          <w:sz w:val="15"/>
        </w:rPr>
        <w:t> Id=60887&gt;.</w:t>
      </w:r>
    </w:p>
    <w:p>
      <w:pPr>
        <w:pStyle w:val="ListParagraph"/>
        <w:numPr>
          <w:ilvl w:val="0"/>
          <w:numId w:val="4"/>
        </w:numPr>
        <w:tabs>
          <w:tab w:pos="440" w:val="left" w:leader="none"/>
        </w:tabs>
        <w:spacing w:line="175" w:lineRule="exact" w:before="0" w:after="0"/>
        <w:ind w:left="439" w:right="0" w:hanging="157"/>
        <w:jc w:val="both"/>
        <w:rPr>
          <w:sz w:val="15"/>
        </w:rPr>
      </w:pPr>
      <w:r>
        <w:rPr>
          <w:color w:val="231F20"/>
          <w:sz w:val="15"/>
        </w:rPr>
        <w:t>McDoom,</w:t>
      </w:r>
      <w:r>
        <w:rPr>
          <w:color w:val="231F20"/>
          <w:spacing w:val="-10"/>
          <w:sz w:val="15"/>
        </w:rPr>
        <w:t> </w:t>
      </w:r>
      <w:r>
        <w:rPr>
          <w:color w:val="231F20"/>
          <w:sz w:val="15"/>
        </w:rPr>
        <w:t>O.,</w:t>
      </w:r>
      <w:r>
        <w:rPr>
          <w:color w:val="231F20"/>
          <w:spacing w:val="-9"/>
          <w:sz w:val="15"/>
        </w:rPr>
        <w:t> </w:t>
      </w:r>
      <w:r>
        <w:rPr>
          <w:color w:val="231F20"/>
          <w:sz w:val="15"/>
        </w:rPr>
        <w:t>‘Sudan</w:t>
      </w:r>
      <w:r>
        <w:rPr>
          <w:color w:val="231F20"/>
          <w:spacing w:val="-9"/>
          <w:sz w:val="15"/>
        </w:rPr>
        <w:t> </w:t>
      </w:r>
      <w:r>
        <w:rPr>
          <w:color w:val="231F20"/>
          <w:sz w:val="15"/>
        </w:rPr>
        <w:t>pledges</w:t>
      </w:r>
      <w:r>
        <w:rPr>
          <w:color w:val="231F20"/>
          <w:spacing w:val="-9"/>
          <w:sz w:val="15"/>
        </w:rPr>
        <w:t> </w:t>
      </w:r>
      <w:r>
        <w:rPr>
          <w:color w:val="231F20"/>
          <w:sz w:val="15"/>
        </w:rPr>
        <w:t>$300</w:t>
      </w:r>
      <w:r>
        <w:rPr>
          <w:color w:val="231F20"/>
          <w:spacing w:val="-9"/>
          <w:sz w:val="15"/>
        </w:rPr>
        <w:t> </w:t>
      </w:r>
      <w:r>
        <w:rPr>
          <w:color w:val="231F20"/>
          <w:sz w:val="15"/>
        </w:rPr>
        <w:t>million</w:t>
      </w:r>
      <w:r>
        <w:rPr>
          <w:color w:val="231F20"/>
          <w:spacing w:val="-9"/>
          <w:sz w:val="15"/>
        </w:rPr>
        <w:t> </w:t>
      </w:r>
      <w:r>
        <w:rPr>
          <w:color w:val="231F20"/>
          <w:sz w:val="15"/>
        </w:rPr>
        <w:t>in</w:t>
      </w:r>
      <w:r>
        <w:rPr>
          <w:color w:val="231F20"/>
          <w:spacing w:val="-9"/>
          <w:sz w:val="15"/>
        </w:rPr>
        <w:t> </w:t>
      </w:r>
      <w:r>
        <w:rPr>
          <w:color w:val="231F20"/>
          <w:sz w:val="15"/>
        </w:rPr>
        <w:t>Darfur</w:t>
      </w:r>
      <w:r>
        <w:rPr>
          <w:color w:val="231F20"/>
          <w:spacing w:val="-10"/>
          <w:sz w:val="15"/>
        </w:rPr>
        <w:t> </w:t>
      </w:r>
      <w:r>
        <w:rPr>
          <w:color w:val="231F20"/>
          <w:sz w:val="15"/>
        </w:rPr>
        <w:t>compensation’,</w:t>
      </w:r>
      <w:r>
        <w:rPr>
          <w:color w:val="231F20"/>
          <w:spacing w:val="-9"/>
          <w:sz w:val="15"/>
        </w:rPr>
        <w:t> </w:t>
      </w:r>
      <w:r>
        <w:rPr>
          <w:color w:val="231F20"/>
          <w:sz w:val="15"/>
        </w:rPr>
        <w:t>Reuters,</w:t>
      </w:r>
      <w:r>
        <w:rPr>
          <w:color w:val="231F20"/>
          <w:spacing w:val="-9"/>
          <w:sz w:val="15"/>
        </w:rPr>
        <w:t> </w:t>
      </w:r>
      <w:r>
        <w:rPr>
          <w:color w:val="231F20"/>
          <w:sz w:val="15"/>
        </w:rPr>
        <w:t>3</w:t>
      </w:r>
      <w:r>
        <w:rPr>
          <w:color w:val="231F20"/>
          <w:spacing w:val="-9"/>
          <w:sz w:val="15"/>
        </w:rPr>
        <w:t> </w:t>
      </w:r>
      <w:r>
        <w:rPr>
          <w:color w:val="231F20"/>
          <w:sz w:val="15"/>
        </w:rPr>
        <w:t>Oct.</w:t>
      </w:r>
      <w:r>
        <w:rPr>
          <w:color w:val="231F20"/>
          <w:spacing w:val="-9"/>
          <w:sz w:val="15"/>
        </w:rPr>
        <w:t> </w:t>
      </w:r>
      <w:r>
        <w:rPr>
          <w:color w:val="231F20"/>
          <w:sz w:val="15"/>
        </w:rPr>
        <w:t>2007.</w:t>
      </w:r>
    </w:p>
    <w:p>
      <w:pPr>
        <w:pStyle w:val="ListParagraph"/>
        <w:numPr>
          <w:ilvl w:val="0"/>
          <w:numId w:val="4"/>
        </w:numPr>
        <w:tabs>
          <w:tab w:pos="440" w:val="left" w:leader="none"/>
        </w:tabs>
        <w:spacing w:line="216" w:lineRule="auto" w:before="4" w:after="0"/>
        <w:ind w:left="100" w:right="122" w:firstLine="182"/>
        <w:jc w:val="both"/>
        <w:rPr>
          <w:sz w:val="15"/>
        </w:rPr>
      </w:pPr>
      <w:r>
        <w:rPr>
          <w:color w:val="231F20"/>
          <w:sz w:val="15"/>
        </w:rPr>
        <w:t>Brookings–Bern</w:t>
      </w:r>
      <w:r>
        <w:rPr>
          <w:color w:val="231F20"/>
          <w:spacing w:val="-15"/>
          <w:sz w:val="15"/>
        </w:rPr>
        <w:t> </w:t>
      </w:r>
      <w:r>
        <w:rPr>
          <w:color w:val="231F20"/>
          <w:sz w:val="15"/>
        </w:rPr>
        <w:t>Project</w:t>
      </w:r>
      <w:r>
        <w:rPr>
          <w:color w:val="231F20"/>
          <w:spacing w:val="-14"/>
          <w:sz w:val="15"/>
        </w:rPr>
        <w:t> </w:t>
      </w:r>
      <w:r>
        <w:rPr>
          <w:color w:val="231F20"/>
          <w:sz w:val="15"/>
        </w:rPr>
        <w:t>on</w:t>
      </w:r>
      <w:r>
        <w:rPr>
          <w:color w:val="231F20"/>
          <w:spacing w:val="-14"/>
          <w:sz w:val="15"/>
        </w:rPr>
        <w:t> </w:t>
      </w:r>
      <w:r>
        <w:rPr>
          <w:color w:val="231F20"/>
          <w:sz w:val="15"/>
        </w:rPr>
        <w:t>Internal</w:t>
      </w:r>
      <w:r>
        <w:rPr>
          <w:color w:val="231F20"/>
          <w:spacing w:val="-14"/>
          <w:sz w:val="15"/>
        </w:rPr>
        <w:t> </w:t>
      </w:r>
      <w:r>
        <w:rPr>
          <w:color w:val="231F20"/>
          <w:sz w:val="15"/>
        </w:rPr>
        <w:t>Displacement,</w:t>
      </w:r>
      <w:r>
        <w:rPr>
          <w:color w:val="231F20"/>
          <w:spacing w:val="-14"/>
          <w:sz w:val="15"/>
        </w:rPr>
        <w:t> </w:t>
      </w:r>
      <w:r>
        <w:rPr>
          <w:color w:val="231F20"/>
          <w:sz w:val="15"/>
        </w:rPr>
        <w:t>‘Consulting</w:t>
      </w:r>
      <w:r>
        <w:rPr>
          <w:color w:val="231F20"/>
          <w:spacing w:val="-14"/>
          <w:sz w:val="15"/>
        </w:rPr>
        <w:t> </w:t>
      </w:r>
      <w:r>
        <w:rPr>
          <w:color w:val="231F20"/>
          <w:sz w:val="15"/>
        </w:rPr>
        <w:t>IDPs:</w:t>
      </w:r>
      <w:r>
        <w:rPr>
          <w:color w:val="231F20"/>
          <w:spacing w:val="-14"/>
          <w:sz w:val="15"/>
        </w:rPr>
        <w:t> </w:t>
      </w:r>
      <w:r>
        <w:rPr>
          <w:color w:val="231F20"/>
          <w:sz w:val="15"/>
        </w:rPr>
        <w:t>moving</w:t>
      </w:r>
      <w:r>
        <w:rPr>
          <w:color w:val="231F20"/>
          <w:spacing w:val="-14"/>
          <w:sz w:val="15"/>
        </w:rPr>
        <w:t> </w:t>
      </w:r>
      <w:r>
        <w:rPr>
          <w:color w:val="231F20"/>
          <w:sz w:val="15"/>
        </w:rPr>
        <w:t>beyond</w:t>
      </w:r>
      <w:r>
        <w:rPr>
          <w:color w:val="231F20"/>
          <w:spacing w:val="-14"/>
          <w:sz w:val="15"/>
        </w:rPr>
        <w:t> </w:t>
      </w:r>
      <w:r>
        <w:rPr>
          <w:color w:val="231F20"/>
          <w:sz w:val="15"/>
        </w:rPr>
        <w:t>rhetoric’, 15–16 Nov. 2007,</w:t>
      </w:r>
      <w:r>
        <w:rPr>
          <w:color w:val="231F20"/>
          <w:spacing w:val="-23"/>
          <w:sz w:val="15"/>
        </w:rPr>
        <w:t> </w:t>
      </w:r>
      <w:hyperlink r:id="rId36">
        <w:r>
          <w:rPr>
            <w:color w:val="231F20"/>
            <w:sz w:val="15"/>
          </w:rPr>
          <w:t>&lt;http://www.brookings.edu/papers/2008/02_displacement.aspx?p=1&gt;.</w:t>
        </w:r>
      </w:hyperlink>
    </w:p>
    <w:p>
      <w:pPr>
        <w:pStyle w:val="ListParagraph"/>
        <w:numPr>
          <w:ilvl w:val="0"/>
          <w:numId w:val="4"/>
        </w:numPr>
        <w:tabs>
          <w:tab w:pos="440" w:val="left" w:leader="none"/>
        </w:tabs>
        <w:spacing w:line="172" w:lineRule="exact" w:before="0" w:after="0"/>
        <w:ind w:left="439" w:right="0" w:hanging="157"/>
        <w:jc w:val="both"/>
        <w:rPr>
          <w:sz w:val="15"/>
        </w:rPr>
      </w:pPr>
      <w:r>
        <w:rPr>
          <w:color w:val="231F20"/>
          <w:sz w:val="15"/>
        </w:rPr>
        <w:t>See</w:t>
      </w:r>
      <w:r>
        <w:rPr>
          <w:color w:val="231F20"/>
          <w:spacing w:val="-5"/>
          <w:sz w:val="15"/>
        </w:rPr>
        <w:t> </w:t>
      </w:r>
      <w:r>
        <w:rPr>
          <w:color w:val="231F20"/>
          <w:sz w:val="15"/>
        </w:rPr>
        <w:t>Brookings–Bern</w:t>
      </w:r>
      <w:r>
        <w:rPr>
          <w:color w:val="231F20"/>
          <w:spacing w:val="-5"/>
          <w:sz w:val="15"/>
        </w:rPr>
        <w:t> </w:t>
      </w:r>
      <w:r>
        <w:rPr>
          <w:color w:val="231F20"/>
          <w:sz w:val="15"/>
        </w:rPr>
        <w:t>Project</w:t>
      </w:r>
      <w:r>
        <w:rPr>
          <w:color w:val="231F20"/>
          <w:spacing w:val="-4"/>
          <w:sz w:val="15"/>
        </w:rPr>
        <w:t> </w:t>
      </w:r>
      <w:r>
        <w:rPr>
          <w:color w:val="231F20"/>
          <w:sz w:val="15"/>
        </w:rPr>
        <w:t>on</w:t>
      </w:r>
      <w:r>
        <w:rPr>
          <w:color w:val="231F20"/>
          <w:spacing w:val="-5"/>
          <w:sz w:val="15"/>
        </w:rPr>
        <w:t> </w:t>
      </w:r>
      <w:r>
        <w:rPr>
          <w:color w:val="231F20"/>
          <w:sz w:val="15"/>
        </w:rPr>
        <w:t>Internal</w:t>
      </w:r>
      <w:r>
        <w:rPr>
          <w:color w:val="231F20"/>
          <w:spacing w:val="-5"/>
          <w:sz w:val="15"/>
        </w:rPr>
        <w:t> </w:t>
      </w:r>
      <w:r>
        <w:rPr>
          <w:color w:val="231F20"/>
          <w:sz w:val="15"/>
        </w:rPr>
        <w:t>Displacement</w:t>
      </w:r>
      <w:r>
        <w:rPr>
          <w:color w:val="231F20"/>
          <w:spacing w:val="-4"/>
          <w:sz w:val="15"/>
        </w:rPr>
        <w:t> </w:t>
      </w:r>
      <w:r>
        <w:rPr>
          <w:color w:val="231F20"/>
          <w:sz w:val="15"/>
        </w:rPr>
        <w:t>(note</w:t>
      </w:r>
      <w:r>
        <w:rPr>
          <w:color w:val="231F20"/>
          <w:spacing w:val="-5"/>
          <w:sz w:val="15"/>
        </w:rPr>
        <w:t> </w:t>
      </w:r>
      <w:r>
        <w:rPr>
          <w:color w:val="231F20"/>
          <w:sz w:val="15"/>
        </w:rPr>
        <w:t>73).</w:t>
      </w:r>
    </w:p>
    <w:p>
      <w:pPr>
        <w:pStyle w:val="ListParagraph"/>
        <w:numPr>
          <w:ilvl w:val="0"/>
          <w:numId w:val="4"/>
        </w:numPr>
        <w:tabs>
          <w:tab w:pos="440" w:val="left" w:leader="none"/>
        </w:tabs>
        <w:spacing w:line="213" w:lineRule="auto" w:before="7" w:after="0"/>
        <w:ind w:left="100" w:right="120" w:firstLine="182"/>
        <w:jc w:val="both"/>
        <w:rPr>
          <w:sz w:val="15"/>
        </w:rPr>
      </w:pPr>
      <w:r>
        <w:rPr>
          <w:color w:val="231F20"/>
          <w:sz w:val="15"/>
        </w:rPr>
        <w:t>A manual to help governments in their preparation has just been published. Brookings–Bern Project on Internal Displacement, </w:t>
      </w:r>
      <w:r>
        <w:rPr>
          <w:i/>
          <w:color w:val="231F20"/>
          <w:sz w:val="15"/>
        </w:rPr>
        <w:t>Protecting Internally Displaced Persons: A Manual for Law and </w:t>
      </w:r>
      <w:r>
        <w:rPr>
          <w:i/>
          <w:color w:val="231F20"/>
          <w:sz w:val="15"/>
        </w:rPr>
        <w:t>Policymakers</w:t>
      </w:r>
      <w:r>
        <w:rPr>
          <w:i/>
          <w:color w:val="231F20"/>
          <w:spacing w:val="-6"/>
          <w:sz w:val="15"/>
        </w:rPr>
        <w:t> </w:t>
      </w:r>
      <w:r>
        <w:rPr>
          <w:color w:val="231F20"/>
          <w:sz w:val="15"/>
        </w:rPr>
        <w:t>(Brookings–Bern</w:t>
      </w:r>
      <w:r>
        <w:rPr>
          <w:color w:val="231F20"/>
          <w:spacing w:val="-5"/>
          <w:sz w:val="15"/>
        </w:rPr>
        <w:t> </w:t>
      </w:r>
      <w:r>
        <w:rPr>
          <w:color w:val="231F20"/>
          <w:sz w:val="15"/>
        </w:rPr>
        <w:t>Project</w:t>
      </w:r>
      <w:r>
        <w:rPr>
          <w:color w:val="231F20"/>
          <w:spacing w:val="-6"/>
          <w:sz w:val="15"/>
        </w:rPr>
        <w:t> </w:t>
      </w:r>
      <w:r>
        <w:rPr>
          <w:color w:val="231F20"/>
          <w:sz w:val="15"/>
        </w:rPr>
        <w:t>on</w:t>
      </w:r>
      <w:r>
        <w:rPr>
          <w:color w:val="231F20"/>
          <w:spacing w:val="-5"/>
          <w:sz w:val="15"/>
        </w:rPr>
        <w:t> </w:t>
      </w:r>
      <w:r>
        <w:rPr>
          <w:color w:val="231F20"/>
          <w:sz w:val="15"/>
        </w:rPr>
        <w:t>Internal</w:t>
      </w:r>
      <w:r>
        <w:rPr>
          <w:color w:val="231F20"/>
          <w:spacing w:val="-5"/>
          <w:sz w:val="15"/>
        </w:rPr>
        <w:t> </w:t>
      </w:r>
      <w:r>
        <w:rPr>
          <w:color w:val="231F20"/>
          <w:sz w:val="15"/>
        </w:rPr>
        <w:t>Displacement:</w:t>
      </w:r>
      <w:r>
        <w:rPr>
          <w:color w:val="231F20"/>
          <w:spacing w:val="-6"/>
          <w:sz w:val="15"/>
        </w:rPr>
        <w:t> </w:t>
      </w:r>
      <w:r>
        <w:rPr>
          <w:color w:val="231F20"/>
          <w:sz w:val="15"/>
        </w:rPr>
        <w:t>Washington,</w:t>
      </w:r>
      <w:r>
        <w:rPr>
          <w:color w:val="231F20"/>
          <w:spacing w:val="-5"/>
          <w:sz w:val="15"/>
        </w:rPr>
        <w:t> </w:t>
      </w:r>
      <w:r>
        <w:rPr>
          <w:color w:val="231F20"/>
          <w:sz w:val="15"/>
        </w:rPr>
        <w:t>DC,</w:t>
      </w:r>
      <w:r>
        <w:rPr>
          <w:color w:val="231F20"/>
          <w:spacing w:val="-6"/>
          <w:sz w:val="15"/>
        </w:rPr>
        <w:t> </w:t>
      </w:r>
      <w:r>
        <w:rPr>
          <w:color w:val="231F20"/>
          <w:sz w:val="15"/>
        </w:rPr>
        <w:t>Oct.</w:t>
      </w:r>
      <w:r>
        <w:rPr>
          <w:color w:val="231F20"/>
          <w:spacing w:val="-5"/>
          <w:sz w:val="15"/>
        </w:rPr>
        <w:t> </w:t>
      </w:r>
      <w:r>
        <w:rPr>
          <w:color w:val="231F20"/>
          <w:sz w:val="15"/>
        </w:rPr>
        <w:t>2008).</w:t>
      </w:r>
    </w:p>
    <w:p>
      <w:pPr>
        <w:pStyle w:val="ListParagraph"/>
        <w:numPr>
          <w:ilvl w:val="0"/>
          <w:numId w:val="4"/>
        </w:numPr>
        <w:tabs>
          <w:tab w:pos="440" w:val="left" w:leader="none"/>
        </w:tabs>
        <w:spacing w:line="216" w:lineRule="auto" w:before="0" w:after="0"/>
        <w:ind w:left="100" w:right="120" w:firstLine="182"/>
        <w:jc w:val="both"/>
        <w:rPr>
          <w:sz w:val="15"/>
        </w:rPr>
      </w:pPr>
      <w:r>
        <w:rPr>
          <w:color w:val="231F20"/>
          <w:sz w:val="15"/>
        </w:rPr>
        <w:t>After</w:t>
      </w:r>
      <w:r>
        <w:rPr>
          <w:color w:val="231F20"/>
          <w:spacing w:val="-8"/>
          <w:sz w:val="15"/>
        </w:rPr>
        <w:t> </w:t>
      </w:r>
      <w:r>
        <w:rPr>
          <w:color w:val="231F20"/>
          <w:sz w:val="15"/>
        </w:rPr>
        <w:t>interviewing</w:t>
      </w:r>
      <w:r>
        <w:rPr>
          <w:color w:val="231F20"/>
          <w:spacing w:val="-8"/>
          <w:sz w:val="15"/>
        </w:rPr>
        <w:t> </w:t>
      </w:r>
      <w:r>
        <w:rPr>
          <w:color w:val="231F20"/>
          <w:sz w:val="15"/>
        </w:rPr>
        <w:t>more</w:t>
      </w:r>
      <w:r>
        <w:rPr>
          <w:color w:val="231F20"/>
          <w:spacing w:val="-8"/>
          <w:sz w:val="15"/>
        </w:rPr>
        <w:t> </w:t>
      </w:r>
      <w:r>
        <w:rPr>
          <w:color w:val="231F20"/>
          <w:sz w:val="15"/>
        </w:rPr>
        <w:t>than</w:t>
      </w:r>
      <w:r>
        <w:rPr>
          <w:color w:val="231F20"/>
          <w:spacing w:val="-8"/>
          <w:sz w:val="15"/>
        </w:rPr>
        <w:t> </w:t>
      </w:r>
      <w:r>
        <w:rPr>
          <w:color w:val="231F20"/>
          <w:sz w:val="15"/>
        </w:rPr>
        <w:t>500</w:t>
      </w:r>
      <w:r>
        <w:rPr>
          <w:color w:val="231F20"/>
          <w:spacing w:val="-8"/>
          <w:sz w:val="15"/>
        </w:rPr>
        <w:t> </w:t>
      </w:r>
      <w:r>
        <w:rPr>
          <w:color w:val="231F20"/>
          <w:sz w:val="15"/>
        </w:rPr>
        <w:t>IDPs</w:t>
      </w:r>
      <w:r>
        <w:rPr>
          <w:color w:val="231F20"/>
          <w:spacing w:val="-7"/>
          <w:sz w:val="15"/>
        </w:rPr>
        <w:t> </w:t>
      </w:r>
      <w:r>
        <w:rPr>
          <w:color w:val="231F20"/>
          <w:sz w:val="15"/>
        </w:rPr>
        <w:t>in</w:t>
      </w:r>
      <w:r>
        <w:rPr>
          <w:color w:val="231F20"/>
          <w:spacing w:val="-8"/>
          <w:sz w:val="15"/>
        </w:rPr>
        <w:t> </w:t>
      </w:r>
      <w:r>
        <w:rPr>
          <w:color w:val="231F20"/>
          <w:sz w:val="15"/>
        </w:rPr>
        <w:t>South</w:t>
      </w:r>
      <w:r>
        <w:rPr>
          <w:color w:val="231F20"/>
          <w:spacing w:val="-8"/>
          <w:sz w:val="15"/>
        </w:rPr>
        <w:t> </w:t>
      </w:r>
      <w:r>
        <w:rPr>
          <w:color w:val="231F20"/>
          <w:sz w:val="15"/>
        </w:rPr>
        <w:t>Asia,</w:t>
      </w:r>
      <w:r>
        <w:rPr>
          <w:color w:val="231F20"/>
          <w:spacing w:val="-8"/>
          <w:sz w:val="15"/>
        </w:rPr>
        <w:t> </w:t>
      </w:r>
      <w:r>
        <w:rPr>
          <w:color w:val="231F20"/>
          <w:sz w:val="15"/>
        </w:rPr>
        <w:t>the</w:t>
      </w:r>
      <w:r>
        <w:rPr>
          <w:color w:val="231F20"/>
          <w:spacing w:val="-8"/>
          <w:sz w:val="15"/>
        </w:rPr>
        <w:t> </w:t>
      </w:r>
      <w:r>
        <w:rPr>
          <w:color w:val="231F20"/>
          <w:sz w:val="15"/>
        </w:rPr>
        <w:t>Calcutta</w:t>
      </w:r>
      <w:r>
        <w:rPr>
          <w:color w:val="231F20"/>
          <w:spacing w:val="-8"/>
          <w:sz w:val="15"/>
        </w:rPr>
        <w:t> </w:t>
      </w:r>
      <w:r>
        <w:rPr>
          <w:color w:val="231F20"/>
          <w:sz w:val="15"/>
        </w:rPr>
        <w:t>Research</w:t>
      </w:r>
      <w:r>
        <w:rPr>
          <w:color w:val="231F20"/>
          <w:spacing w:val="-7"/>
          <w:sz w:val="15"/>
        </w:rPr>
        <w:t> </w:t>
      </w:r>
      <w:r>
        <w:rPr>
          <w:color w:val="231F20"/>
          <w:sz w:val="15"/>
        </w:rPr>
        <w:t>Group</w:t>
      </w:r>
      <w:r>
        <w:rPr>
          <w:color w:val="231F20"/>
          <w:spacing w:val="-8"/>
          <w:sz w:val="15"/>
        </w:rPr>
        <w:t> </w:t>
      </w:r>
      <w:r>
        <w:rPr>
          <w:color w:val="231F20"/>
          <w:sz w:val="15"/>
        </w:rPr>
        <w:t>concluded that</w:t>
      </w:r>
      <w:r>
        <w:rPr>
          <w:color w:val="231F20"/>
          <w:spacing w:val="-7"/>
          <w:sz w:val="15"/>
        </w:rPr>
        <w:t> </w:t>
      </w:r>
      <w:r>
        <w:rPr>
          <w:color w:val="231F20"/>
          <w:sz w:val="15"/>
        </w:rPr>
        <w:t>‘The</w:t>
      </w:r>
      <w:r>
        <w:rPr>
          <w:color w:val="231F20"/>
          <w:spacing w:val="-7"/>
          <w:sz w:val="15"/>
        </w:rPr>
        <w:t> </w:t>
      </w:r>
      <w:r>
        <w:rPr>
          <w:color w:val="231F20"/>
          <w:sz w:val="15"/>
        </w:rPr>
        <w:t>obligation</w:t>
      </w:r>
      <w:r>
        <w:rPr>
          <w:color w:val="231F20"/>
          <w:spacing w:val="-7"/>
          <w:sz w:val="15"/>
        </w:rPr>
        <w:t> </w:t>
      </w:r>
      <w:r>
        <w:rPr>
          <w:color w:val="231F20"/>
          <w:sz w:val="15"/>
        </w:rPr>
        <w:t>to</w:t>
      </w:r>
      <w:r>
        <w:rPr>
          <w:color w:val="231F20"/>
          <w:spacing w:val="-7"/>
          <w:sz w:val="15"/>
        </w:rPr>
        <w:t> </w:t>
      </w:r>
      <w:r>
        <w:rPr>
          <w:color w:val="231F20"/>
          <w:sz w:val="15"/>
        </w:rPr>
        <w:t>resettle</w:t>
      </w:r>
      <w:r>
        <w:rPr>
          <w:color w:val="231F20"/>
          <w:spacing w:val="-7"/>
          <w:sz w:val="15"/>
        </w:rPr>
        <w:t> </w:t>
      </w:r>
      <w:r>
        <w:rPr>
          <w:color w:val="231F20"/>
          <w:sz w:val="15"/>
        </w:rPr>
        <w:t>should</w:t>
      </w:r>
      <w:r>
        <w:rPr>
          <w:color w:val="231F20"/>
          <w:spacing w:val="-6"/>
          <w:sz w:val="15"/>
        </w:rPr>
        <w:t> </w:t>
      </w:r>
      <w:r>
        <w:rPr>
          <w:color w:val="231F20"/>
          <w:sz w:val="15"/>
        </w:rPr>
        <w:t>be</w:t>
      </w:r>
      <w:r>
        <w:rPr>
          <w:color w:val="231F20"/>
          <w:spacing w:val="-7"/>
          <w:sz w:val="15"/>
        </w:rPr>
        <w:t> </w:t>
      </w:r>
      <w:r>
        <w:rPr>
          <w:color w:val="231F20"/>
          <w:sz w:val="15"/>
        </w:rPr>
        <w:t>considered</w:t>
      </w:r>
      <w:r>
        <w:rPr>
          <w:color w:val="231F20"/>
          <w:spacing w:val="-7"/>
          <w:sz w:val="15"/>
        </w:rPr>
        <w:t> </w:t>
      </w:r>
      <w:r>
        <w:rPr>
          <w:color w:val="231F20"/>
          <w:sz w:val="15"/>
        </w:rPr>
        <w:t>as</w:t>
      </w:r>
      <w:r>
        <w:rPr>
          <w:color w:val="231F20"/>
          <w:spacing w:val="-7"/>
          <w:sz w:val="15"/>
        </w:rPr>
        <w:t> </w:t>
      </w:r>
      <w:r>
        <w:rPr>
          <w:color w:val="231F20"/>
          <w:sz w:val="15"/>
        </w:rPr>
        <w:t>equally</w:t>
      </w:r>
      <w:r>
        <w:rPr>
          <w:color w:val="231F20"/>
          <w:spacing w:val="-7"/>
          <w:sz w:val="15"/>
        </w:rPr>
        <w:t> </w:t>
      </w:r>
      <w:r>
        <w:rPr>
          <w:color w:val="231F20"/>
          <w:sz w:val="15"/>
        </w:rPr>
        <w:t>important</w:t>
      </w:r>
      <w:r>
        <w:rPr>
          <w:color w:val="231F20"/>
          <w:spacing w:val="-7"/>
          <w:sz w:val="15"/>
        </w:rPr>
        <w:t> </w:t>
      </w:r>
      <w:r>
        <w:rPr>
          <w:color w:val="231F20"/>
          <w:sz w:val="15"/>
        </w:rPr>
        <w:t>as</w:t>
      </w:r>
      <w:r>
        <w:rPr>
          <w:color w:val="231F20"/>
          <w:spacing w:val="-6"/>
          <w:sz w:val="15"/>
        </w:rPr>
        <w:t> </w:t>
      </w:r>
      <w:r>
        <w:rPr>
          <w:color w:val="231F20"/>
          <w:sz w:val="15"/>
        </w:rPr>
        <w:t>the</w:t>
      </w:r>
      <w:r>
        <w:rPr>
          <w:color w:val="231F20"/>
          <w:spacing w:val="-7"/>
          <w:sz w:val="15"/>
        </w:rPr>
        <w:t> </w:t>
      </w:r>
      <w:r>
        <w:rPr>
          <w:color w:val="231F20"/>
          <w:sz w:val="15"/>
        </w:rPr>
        <w:t>displaced</w:t>
      </w:r>
      <w:r>
        <w:rPr>
          <w:color w:val="231F20"/>
          <w:spacing w:val="-7"/>
          <w:sz w:val="15"/>
        </w:rPr>
        <w:t> </w:t>
      </w:r>
      <w:r>
        <w:rPr>
          <w:color w:val="231F20"/>
          <w:sz w:val="15"/>
        </w:rPr>
        <w:t>persons’</w:t>
      </w:r>
    </w:p>
    <w:p>
      <w:pPr>
        <w:spacing w:after="0" w:line="216" w:lineRule="auto"/>
        <w:jc w:val="both"/>
        <w:rPr>
          <w:sz w:val="15"/>
        </w:rPr>
        <w:sectPr>
          <w:pgSz w:w="8850" w:h="13270"/>
          <w:pgMar w:header="793" w:footer="0" w:top="1080" w:bottom="280" w:left="1080" w:right="1060"/>
        </w:sectPr>
      </w:pPr>
    </w:p>
    <w:p>
      <w:pPr>
        <w:pStyle w:val="BodyText"/>
        <w:spacing w:line="254" w:lineRule="auto" w:before="141"/>
        <w:ind w:left="101" w:right="119"/>
        <w:rPr>
          <w:rFonts w:ascii="Adobe Jenson Pro Lt Capt"/>
          <w:b w:val="0"/>
          <w:sz w:val="12"/>
        </w:rPr>
      </w:pPr>
      <w:r>
        <w:rPr>
          <w:color w:val="231F20"/>
        </w:rPr>
        <w:t>with property restitution or compensation and the establishment of mechanisms to settle disputes; and (</w:t>
      </w:r>
      <w:r>
        <w:rPr>
          <w:rFonts w:ascii="Palatino Linotype"/>
          <w:i/>
          <w:color w:val="231F20"/>
        </w:rPr>
        <w:t>h</w:t>
      </w:r>
      <w:r>
        <w:rPr>
          <w:color w:val="231F20"/>
        </w:rPr>
        <w:t>) the introduction of reconciliation measures to bring ethnic groups together.</w:t>
      </w:r>
      <w:r>
        <w:rPr>
          <w:rFonts w:ascii="Adobe Jenson Pro Lt Capt"/>
          <w:b w:val="0"/>
          <w:color w:val="231F20"/>
          <w:position w:val="6"/>
          <w:sz w:val="12"/>
        </w:rPr>
        <w:t>81</w:t>
      </w:r>
    </w:p>
    <w:p>
      <w:pPr>
        <w:pStyle w:val="BodyText"/>
        <w:spacing w:line="271" w:lineRule="auto" w:before="19"/>
        <w:ind w:right="116" w:firstLine="180"/>
        <w:jc w:val="right"/>
      </w:pPr>
      <w:r>
        <w:rPr>
          <w:color w:val="231F20"/>
        </w:rPr>
        <w:t>Integrating</w:t>
      </w:r>
      <w:r>
        <w:rPr>
          <w:color w:val="231F20"/>
          <w:spacing w:val="37"/>
        </w:rPr>
        <w:t> </w:t>
      </w:r>
      <w:r>
        <w:rPr>
          <w:color w:val="231F20"/>
        </w:rPr>
        <w:t>the</w:t>
      </w:r>
      <w:r>
        <w:rPr>
          <w:color w:val="231F20"/>
          <w:spacing w:val="37"/>
        </w:rPr>
        <w:t> </w:t>
      </w:r>
      <w:r>
        <w:rPr>
          <w:color w:val="231F20"/>
        </w:rPr>
        <w:t>full</w:t>
      </w:r>
      <w:r>
        <w:rPr>
          <w:color w:val="231F20"/>
          <w:spacing w:val="37"/>
        </w:rPr>
        <w:t> </w:t>
      </w:r>
      <w:r>
        <w:rPr>
          <w:color w:val="231F20"/>
        </w:rPr>
        <w:t>set</w:t>
      </w:r>
      <w:r>
        <w:rPr>
          <w:color w:val="231F20"/>
          <w:spacing w:val="37"/>
        </w:rPr>
        <w:t> </w:t>
      </w:r>
      <w:r>
        <w:rPr>
          <w:color w:val="231F20"/>
        </w:rPr>
        <w:t>of</w:t>
      </w:r>
      <w:r>
        <w:rPr>
          <w:color w:val="231F20"/>
          <w:spacing w:val="37"/>
        </w:rPr>
        <w:t> </w:t>
      </w:r>
      <w:r>
        <w:rPr>
          <w:color w:val="231F20"/>
        </w:rPr>
        <w:t>these</w:t>
      </w:r>
      <w:r>
        <w:rPr>
          <w:color w:val="231F20"/>
          <w:spacing w:val="37"/>
        </w:rPr>
        <w:t> </w:t>
      </w:r>
      <w:r>
        <w:rPr>
          <w:color w:val="231F20"/>
        </w:rPr>
        <w:t>benchmarks</w:t>
      </w:r>
      <w:r>
        <w:rPr>
          <w:color w:val="231F20"/>
          <w:spacing w:val="37"/>
        </w:rPr>
        <w:t> </w:t>
      </w:r>
      <w:r>
        <w:rPr>
          <w:color w:val="231F20"/>
        </w:rPr>
        <w:t>into</w:t>
      </w:r>
      <w:r>
        <w:rPr>
          <w:color w:val="231F20"/>
          <w:spacing w:val="37"/>
        </w:rPr>
        <w:t> </w:t>
      </w:r>
      <w:r>
        <w:rPr>
          <w:color w:val="231F20"/>
        </w:rPr>
        <w:t>the</w:t>
      </w:r>
      <w:r>
        <w:rPr>
          <w:color w:val="231F20"/>
          <w:spacing w:val="37"/>
        </w:rPr>
        <w:t> </w:t>
      </w:r>
      <w:r>
        <w:rPr>
          <w:color w:val="231F20"/>
        </w:rPr>
        <w:t>UN</w:t>
      </w:r>
      <w:r>
        <w:rPr>
          <w:color w:val="231F20"/>
          <w:spacing w:val="37"/>
        </w:rPr>
        <w:t> </w:t>
      </w:r>
      <w:r>
        <w:rPr>
          <w:color w:val="231F20"/>
        </w:rPr>
        <w:t>Peacebuilding</w:t>
      </w:r>
      <w:r>
        <w:rPr>
          <w:color w:val="231F20"/>
          <w:spacing w:val="1"/>
          <w:w w:val="101"/>
        </w:rPr>
        <w:t> </w:t>
      </w:r>
      <w:r>
        <w:rPr>
          <w:color w:val="231F20"/>
        </w:rPr>
        <w:t>Commission’s post-conﬂict reconstruction efforts should</w:t>
      </w:r>
      <w:r>
        <w:rPr>
          <w:color w:val="231F20"/>
          <w:spacing w:val="18"/>
        </w:rPr>
        <w:t> </w:t>
      </w:r>
      <w:r>
        <w:rPr>
          <w:color w:val="231F20"/>
        </w:rPr>
        <w:t>help</w:t>
      </w:r>
      <w:r>
        <w:rPr>
          <w:color w:val="231F20"/>
          <w:spacing w:val="22"/>
        </w:rPr>
        <w:t> </w:t>
      </w:r>
      <w:r>
        <w:rPr>
          <w:color w:val="231F20"/>
        </w:rPr>
        <w:t>reduce</w:t>
      </w:r>
      <w:r>
        <w:rPr>
          <w:color w:val="231F20"/>
          <w:spacing w:val="1"/>
          <w:w w:val="102"/>
        </w:rPr>
        <w:t> </w:t>
      </w:r>
      <w:r>
        <w:rPr>
          <w:color w:val="231F20"/>
        </w:rPr>
        <w:t>violence</w:t>
      </w:r>
      <w:r>
        <w:rPr>
          <w:color w:val="231F20"/>
          <w:spacing w:val="16"/>
        </w:rPr>
        <w:t> </w:t>
      </w:r>
      <w:r>
        <w:rPr>
          <w:color w:val="231F20"/>
        </w:rPr>
        <w:t>and</w:t>
      </w:r>
      <w:r>
        <w:rPr>
          <w:color w:val="231F20"/>
          <w:spacing w:val="17"/>
        </w:rPr>
        <w:t> </w:t>
      </w:r>
      <w:r>
        <w:rPr>
          <w:color w:val="231F20"/>
        </w:rPr>
        <w:t>displacement</w:t>
      </w:r>
      <w:r>
        <w:rPr>
          <w:color w:val="231F20"/>
          <w:spacing w:val="17"/>
        </w:rPr>
        <w:t> </w:t>
      </w:r>
      <w:r>
        <w:rPr>
          <w:color w:val="231F20"/>
        </w:rPr>
        <w:t>in</w:t>
      </w:r>
      <w:r>
        <w:rPr>
          <w:color w:val="231F20"/>
          <w:spacing w:val="17"/>
        </w:rPr>
        <w:t> </w:t>
      </w:r>
      <w:r>
        <w:rPr>
          <w:color w:val="231F20"/>
        </w:rPr>
        <w:t>countries</w:t>
      </w:r>
      <w:r>
        <w:rPr>
          <w:color w:val="231F20"/>
          <w:spacing w:val="17"/>
        </w:rPr>
        <w:t> </w:t>
      </w:r>
      <w:r>
        <w:rPr>
          <w:color w:val="231F20"/>
        </w:rPr>
        <w:t>where</w:t>
      </w:r>
      <w:r>
        <w:rPr>
          <w:color w:val="231F20"/>
          <w:spacing w:val="17"/>
        </w:rPr>
        <w:t> </w:t>
      </w:r>
      <w:r>
        <w:rPr>
          <w:color w:val="231F20"/>
        </w:rPr>
        <w:t>‘competition</w:t>
      </w:r>
      <w:r>
        <w:rPr>
          <w:color w:val="231F20"/>
          <w:spacing w:val="17"/>
        </w:rPr>
        <w:t> </w:t>
      </w:r>
      <w:r>
        <w:rPr>
          <w:color w:val="231F20"/>
        </w:rPr>
        <w:t>and </w:t>
      </w:r>
      <w:r>
        <w:rPr>
          <w:color w:val="231F20"/>
          <w:spacing w:val="16"/>
        </w:rPr>
        <w:t> </w:t>
      </w:r>
      <w:r>
        <w:rPr>
          <w:color w:val="231F20"/>
        </w:rPr>
        <w:t>conﬂict</w:t>
      </w:r>
      <w:r>
        <w:rPr>
          <w:color w:val="231F20"/>
          <w:spacing w:val="1"/>
          <w:w w:val="103"/>
        </w:rPr>
        <w:t> </w:t>
      </w:r>
      <w:r>
        <w:rPr>
          <w:color w:val="231F20"/>
        </w:rPr>
        <w:t>over scarce resources such as land, food, water, jobs and</w:t>
      </w:r>
      <w:r>
        <w:rPr>
          <w:color w:val="231F20"/>
          <w:spacing w:val="-20"/>
        </w:rPr>
        <w:t> </w:t>
      </w:r>
      <w:r>
        <w:rPr>
          <w:color w:val="231F20"/>
        </w:rPr>
        <w:t>public</w:t>
      </w:r>
      <w:r>
        <w:rPr>
          <w:color w:val="231F20"/>
          <w:spacing w:val="40"/>
        </w:rPr>
        <w:t> </w:t>
      </w:r>
      <w:r>
        <w:rPr>
          <w:color w:val="231F20"/>
        </w:rPr>
        <w:t>services’</w:t>
      </w:r>
      <w:r>
        <w:rPr>
          <w:color w:val="231F20"/>
          <w:spacing w:val="1"/>
          <w:w w:val="102"/>
        </w:rPr>
        <w:t> </w:t>
      </w:r>
      <w:r>
        <w:rPr>
          <w:color w:val="231F20"/>
        </w:rPr>
        <w:t>could bring opposing communities and  ethnic  rivals</w:t>
      </w:r>
      <w:r>
        <w:rPr>
          <w:color w:val="231F20"/>
          <w:spacing w:val="20"/>
        </w:rPr>
        <w:t> </w:t>
      </w:r>
      <w:r>
        <w:rPr>
          <w:color w:val="231F20"/>
        </w:rPr>
        <w:t>into</w:t>
      </w:r>
      <w:r>
        <w:rPr>
          <w:color w:val="231F20"/>
          <w:spacing w:val="43"/>
        </w:rPr>
        <w:t> </w:t>
      </w:r>
      <w:r>
        <w:rPr>
          <w:color w:val="231F20"/>
        </w:rPr>
        <w:t>confrontation.</w:t>
      </w:r>
      <w:r>
        <w:rPr>
          <w:rFonts w:ascii="Adobe Jenson Pro Lt Capt" w:hAnsi="Adobe Jenson Pro Lt Capt"/>
          <w:b w:val="0"/>
          <w:color w:val="231F20"/>
          <w:position w:val="6"/>
          <w:sz w:val="12"/>
        </w:rPr>
        <w:t>82</w:t>
      </w:r>
      <w:r>
        <w:rPr>
          <w:rFonts w:ascii="Adobe Jenson Pro Lt Capt" w:hAnsi="Adobe Jenson Pro Lt Capt"/>
          <w:b w:val="0"/>
          <w:color w:val="231F20"/>
          <w:w w:val="99"/>
          <w:position w:val="6"/>
          <w:sz w:val="12"/>
        </w:rPr>
        <w:t> </w:t>
      </w:r>
      <w:r>
        <w:rPr>
          <w:color w:val="231F20"/>
        </w:rPr>
        <w:t>To date, the Commission has not paid sufficient attention to</w:t>
      </w:r>
      <w:r>
        <w:rPr>
          <w:color w:val="231F20"/>
          <w:spacing w:val="2"/>
        </w:rPr>
        <w:t> </w:t>
      </w:r>
      <w:r>
        <w:rPr>
          <w:color w:val="231F20"/>
        </w:rPr>
        <w:t>the reinte-</w:t>
      </w:r>
      <w:r>
        <w:rPr>
          <w:color w:val="231F20"/>
          <w:spacing w:val="1"/>
          <w:w w:val="101"/>
        </w:rPr>
        <w:t> </w:t>
      </w:r>
      <w:r>
        <w:rPr>
          <w:color w:val="231F20"/>
        </w:rPr>
        <w:t>gration of displaced populations and should work more</w:t>
      </w:r>
      <w:r>
        <w:rPr>
          <w:color w:val="231F20"/>
          <w:spacing w:val="-2"/>
        </w:rPr>
        <w:t> </w:t>
      </w:r>
      <w:r>
        <w:rPr>
          <w:color w:val="231F20"/>
        </w:rPr>
        <w:t>actively</w:t>
      </w:r>
      <w:r>
        <w:rPr>
          <w:color w:val="231F20"/>
          <w:spacing w:val="34"/>
        </w:rPr>
        <w:t> </w:t>
      </w:r>
      <w:r>
        <w:rPr>
          <w:color w:val="231F20"/>
        </w:rPr>
        <w:t>with</w:t>
      </w:r>
      <w:r>
        <w:rPr>
          <w:color w:val="231F20"/>
          <w:spacing w:val="1"/>
          <w:w w:val="105"/>
        </w:rPr>
        <w:t> </w:t>
      </w:r>
      <w:r>
        <w:rPr>
          <w:color w:val="231F20"/>
        </w:rPr>
        <w:t>governments to ensure secure and sustainable returns,</w:t>
      </w:r>
      <w:r>
        <w:rPr>
          <w:color w:val="231F20"/>
          <w:spacing w:val="39"/>
        </w:rPr>
        <w:t> </w:t>
      </w:r>
      <w:r>
        <w:rPr>
          <w:color w:val="231F20"/>
        </w:rPr>
        <w:t>eliminate</w:t>
      </w:r>
      <w:r>
        <w:rPr>
          <w:color w:val="231F20"/>
          <w:spacing w:val="45"/>
        </w:rPr>
        <w:t> </w:t>
      </w:r>
      <w:r>
        <w:rPr>
          <w:color w:val="231F20"/>
        </w:rPr>
        <w:t>the</w:t>
      </w:r>
      <w:r>
        <w:rPr>
          <w:color w:val="231F20"/>
          <w:spacing w:val="1"/>
          <w:w w:val="102"/>
        </w:rPr>
        <w:t> </w:t>
      </w:r>
      <w:r>
        <w:rPr>
          <w:color w:val="231F20"/>
        </w:rPr>
        <w:t>marginalization</w:t>
      </w:r>
      <w:r>
        <w:rPr>
          <w:color w:val="231F20"/>
          <w:spacing w:val="19"/>
        </w:rPr>
        <w:t> </w:t>
      </w:r>
      <w:r>
        <w:rPr>
          <w:color w:val="231F20"/>
        </w:rPr>
        <w:t>of</w:t>
      </w:r>
      <w:r>
        <w:rPr>
          <w:color w:val="231F20"/>
          <w:spacing w:val="20"/>
        </w:rPr>
        <w:t> </w:t>
      </w:r>
      <w:r>
        <w:rPr>
          <w:color w:val="231F20"/>
        </w:rPr>
        <w:t>different</w:t>
      </w:r>
      <w:r>
        <w:rPr>
          <w:color w:val="231F20"/>
          <w:spacing w:val="20"/>
        </w:rPr>
        <w:t> </w:t>
      </w:r>
      <w:r>
        <w:rPr>
          <w:color w:val="231F20"/>
        </w:rPr>
        <w:t>groups</w:t>
      </w:r>
      <w:r>
        <w:rPr>
          <w:color w:val="231F20"/>
          <w:spacing w:val="20"/>
        </w:rPr>
        <w:t> </w:t>
      </w:r>
      <w:r>
        <w:rPr>
          <w:color w:val="231F20"/>
        </w:rPr>
        <w:t>and</w:t>
      </w:r>
      <w:r>
        <w:rPr>
          <w:color w:val="231F20"/>
          <w:spacing w:val="20"/>
        </w:rPr>
        <w:t> </w:t>
      </w:r>
      <w:r>
        <w:rPr>
          <w:color w:val="231F20"/>
        </w:rPr>
        <w:t>address</w:t>
      </w:r>
      <w:r>
        <w:rPr>
          <w:color w:val="231F20"/>
          <w:spacing w:val="19"/>
        </w:rPr>
        <w:t> </w:t>
      </w:r>
      <w:r>
        <w:rPr>
          <w:color w:val="231F20"/>
        </w:rPr>
        <w:t>the</w:t>
      </w:r>
      <w:r>
        <w:rPr>
          <w:color w:val="231F20"/>
          <w:spacing w:val="20"/>
        </w:rPr>
        <w:t> </w:t>
      </w:r>
      <w:r>
        <w:rPr>
          <w:color w:val="231F20"/>
        </w:rPr>
        <w:t>root</w:t>
      </w:r>
      <w:r>
        <w:rPr>
          <w:color w:val="231F20"/>
          <w:spacing w:val="20"/>
        </w:rPr>
        <w:t> </w:t>
      </w:r>
      <w:r>
        <w:rPr>
          <w:color w:val="231F20"/>
        </w:rPr>
        <w:t>causes</w:t>
      </w:r>
      <w:r>
        <w:rPr>
          <w:color w:val="231F20"/>
          <w:spacing w:val="20"/>
        </w:rPr>
        <w:t> </w:t>
      </w:r>
      <w:r>
        <w:rPr>
          <w:color w:val="231F20"/>
        </w:rPr>
        <w:t>of</w:t>
      </w:r>
      <w:r>
        <w:rPr>
          <w:color w:val="231F20"/>
          <w:spacing w:val="20"/>
        </w:rPr>
        <w:t> </w:t>
      </w:r>
      <w:r>
        <w:rPr>
          <w:color w:val="231F20"/>
        </w:rPr>
        <w:t>disputes</w:t>
      </w:r>
      <w:r>
        <w:rPr>
          <w:color w:val="231F20"/>
          <w:spacing w:val="1"/>
          <w:w w:val="100"/>
        </w:rPr>
        <w:t> </w:t>
      </w:r>
      <w:r>
        <w:rPr>
          <w:color w:val="231F20"/>
        </w:rPr>
        <w:t>by</w:t>
      </w:r>
      <w:r>
        <w:rPr>
          <w:color w:val="231F20"/>
          <w:spacing w:val="8"/>
        </w:rPr>
        <w:t> </w:t>
      </w:r>
      <w:r>
        <w:rPr>
          <w:color w:val="231F20"/>
        </w:rPr>
        <w:t>redressing</w:t>
      </w:r>
      <w:r>
        <w:rPr>
          <w:color w:val="231F20"/>
          <w:spacing w:val="8"/>
        </w:rPr>
        <w:t> </w:t>
      </w:r>
      <w:r>
        <w:rPr>
          <w:color w:val="231F20"/>
        </w:rPr>
        <w:t>past</w:t>
      </w:r>
      <w:r>
        <w:rPr>
          <w:color w:val="231F20"/>
          <w:spacing w:val="9"/>
        </w:rPr>
        <w:t> </w:t>
      </w:r>
      <w:r>
        <w:rPr>
          <w:color w:val="231F20"/>
        </w:rPr>
        <w:t>injustices,</w:t>
      </w:r>
      <w:r>
        <w:rPr>
          <w:color w:val="231F20"/>
          <w:spacing w:val="8"/>
        </w:rPr>
        <w:t> </w:t>
      </w:r>
      <w:r>
        <w:rPr>
          <w:color w:val="231F20"/>
        </w:rPr>
        <w:t>such</w:t>
      </w:r>
      <w:r>
        <w:rPr>
          <w:color w:val="231F20"/>
          <w:spacing w:val="8"/>
        </w:rPr>
        <w:t> </w:t>
      </w:r>
      <w:r>
        <w:rPr>
          <w:color w:val="231F20"/>
        </w:rPr>
        <w:t>as</w:t>
      </w:r>
      <w:r>
        <w:rPr>
          <w:color w:val="231F20"/>
          <w:spacing w:val="9"/>
        </w:rPr>
        <w:t> </w:t>
      </w:r>
      <w:r>
        <w:rPr>
          <w:color w:val="231F20"/>
        </w:rPr>
        <w:t>unequal</w:t>
      </w:r>
      <w:r>
        <w:rPr>
          <w:color w:val="231F20"/>
          <w:spacing w:val="8"/>
        </w:rPr>
        <w:t> </w:t>
      </w:r>
      <w:r>
        <w:rPr>
          <w:color w:val="231F20"/>
        </w:rPr>
        <w:t>access</w:t>
      </w:r>
      <w:r>
        <w:rPr>
          <w:color w:val="231F20"/>
          <w:spacing w:val="8"/>
        </w:rPr>
        <w:t> </w:t>
      </w:r>
      <w:r>
        <w:rPr>
          <w:color w:val="231F20"/>
        </w:rPr>
        <w:t>to</w:t>
      </w:r>
      <w:r>
        <w:rPr>
          <w:color w:val="231F20"/>
          <w:spacing w:val="9"/>
        </w:rPr>
        <w:t> </w:t>
      </w:r>
      <w:r>
        <w:rPr>
          <w:color w:val="231F20"/>
        </w:rPr>
        <w:t>property</w:t>
      </w:r>
      <w:r>
        <w:rPr>
          <w:color w:val="231F20"/>
          <w:spacing w:val="8"/>
        </w:rPr>
        <w:t> </w:t>
      </w:r>
      <w:r>
        <w:rPr>
          <w:color w:val="231F20"/>
        </w:rPr>
        <w:t>and</w:t>
      </w:r>
      <w:r>
        <w:rPr>
          <w:color w:val="231F20"/>
          <w:spacing w:val="8"/>
        </w:rPr>
        <w:t> </w:t>
      </w:r>
      <w:r>
        <w:rPr>
          <w:color w:val="231F20"/>
        </w:rPr>
        <w:t>land.</w:t>
      </w:r>
      <w:r>
        <w:rPr>
          <w:rFonts w:ascii="Adobe Jenson Pro Lt Capt" w:hAnsi="Adobe Jenson Pro Lt Capt"/>
          <w:b w:val="0"/>
          <w:color w:val="231F20"/>
          <w:position w:val="6"/>
          <w:sz w:val="12"/>
        </w:rPr>
        <w:t>83</w:t>
      </w:r>
      <w:r>
        <w:rPr>
          <w:rFonts w:ascii="Adobe Jenson Pro Lt Capt" w:hAnsi="Adobe Jenson Pro Lt Capt"/>
          <w:b w:val="0"/>
          <w:color w:val="231F20"/>
          <w:w w:val="99"/>
          <w:position w:val="6"/>
          <w:sz w:val="12"/>
        </w:rPr>
        <w:t> </w:t>
      </w:r>
      <w:r>
        <w:rPr>
          <w:color w:val="231F20"/>
        </w:rPr>
        <w:t>Third, international organizations need to develop more</w:t>
      </w:r>
      <w:r>
        <w:rPr>
          <w:color w:val="231F20"/>
          <w:spacing w:val="16"/>
        </w:rPr>
        <w:t> </w:t>
      </w:r>
      <w:r>
        <w:rPr>
          <w:color w:val="231F20"/>
        </w:rPr>
        <w:t>effective</w:t>
      </w:r>
      <w:r>
        <w:rPr>
          <w:color w:val="231F20"/>
          <w:spacing w:val="41"/>
        </w:rPr>
        <w:t> </w:t>
      </w:r>
      <w:r>
        <w:rPr>
          <w:color w:val="231F20"/>
        </w:rPr>
        <w:t>insti-</w:t>
      </w:r>
      <w:r>
        <w:rPr>
          <w:color w:val="231F20"/>
          <w:w w:val="101"/>
        </w:rPr>
        <w:t> </w:t>
      </w:r>
      <w:r>
        <w:rPr>
          <w:color w:val="231F20"/>
        </w:rPr>
        <w:t>tutional arrangements, in particular a dedicated  locus  of</w:t>
      </w:r>
      <w:r>
        <w:rPr>
          <w:color w:val="231F20"/>
          <w:spacing w:val="-11"/>
        </w:rPr>
        <w:t> </w:t>
      </w:r>
      <w:r>
        <w:rPr>
          <w:color w:val="231F20"/>
        </w:rPr>
        <w:t>responsibility</w:t>
      </w:r>
      <w:r>
        <w:rPr>
          <w:color w:val="231F20"/>
          <w:spacing w:val="39"/>
        </w:rPr>
        <w:t> </w:t>
      </w:r>
      <w:r>
        <w:rPr>
          <w:color w:val="231F20"/>
        </w:rPr>
        <w:t>in</w:t>
      </w:r>
      <w:r>
        <w:rPr>
          <w:color w:val="231F20"/>
          <w:spacing w:val="1"/>
          <w:w w:val="100"/>
        </w:rPr>
        <w:t> </w:t>
      </w:r>
      <w:r>
        <w:rPr>
          <w:color w:val="231F20"/>
        </w:rPr>
        <w:t>the</w:t>
      </w:r>
      <w:r>
        <w:rPr>
          <w:color w:val="231F20"/>
          <w:spacing w:val="34"/>
        </w:rPr>
        <w:t> </w:t>
      </w:r>
      <w:r>
        <w:rPr>
          <w:color w:val="231F20"/>
        </w:rPr>
        <w:t>ﬁeld</w:t>
      </w:r>
      <w:r>
        <w:rPr>
          <w:color w:val="231F20"/>
          <w:spacing w:val="34"/>
        </w:rPr>
        <w:t> </w:t>
      </w:r>
      <w:r>
        <w:rPr>
          <w:color w:val="231F20"/>
        </w:rPr>
        <w:t>for</w:t>
      </w:r>
      <w:r>
        <w:rPr>
          <w:color w:val="231F20"/>
          <w:spacing w:val="35"/>
        </w:rPr>
        <w:t> </w:t>
      </w:r>
      <w:r>
        <w:rPr>
          <w:color w:val="231F20"/>
        </w:rPr>
        <w:t>internally</w:t>
      </w:r>
      <w:r>
        <w:rPr>
          <w:color w:val="231F20"/>
          <w:spacing w:val="34"/>
        </w:rPr>
        <w:t> </w:t>
      </w:r>
      <w:r>
        <w:rPr>
          <w:color w:val="231F20"/>
        </w:rPr>
        <w:t>displaced</w:t>
      </w:r>
      <w:r>
        <w:rPr>
          <w:color w:val="231F20"/>
          <w:spacing w:val="34"/>
        </w:rPr>
        <w:t> </w:t>
      </w:r>
      <w:r>
        <w:rPr>
          <w:color w:val="231F20"/>
        </w:rPr>
        <w:t>persons.</w:t>
      </w:r>
      <w:r>
        <w:rPr>
          <w:color w:val="231F20"/>
          <w:spacing w:val="35"/>
        </w:rPr>
        <w:t> </w:t>
      </w:r>
      <w:r>
        <w:rPr>
          <w:color w:val="231F20"/>
        </w:rPr>
        <w:t>The</w:t>
      </w:r>
      <w:r>
        <w:rPr>
          <w:color w:val="231F20"/>
          <w:spacing w:val="34"/>
        </w:rPr>
        <w:t> </w:t>
      </w:r>
      <w:r>
        <w:rPr>
          <w:color w:val="231F20"/>
        </w:rPr>
        <w:t>UN’s</w:t>
      </w:r>
      <w:r>
        <w:rPr>
          <w:color w:val="231F20"/>
          <w:spacing w:val="35"/>
        </w:rPr>
        <w:t> </w:t>
      </w:r>
      <w:r>
        <w:rPr>
          <w:color w:val="231F20"/>
        </w:rPr>
        <w:t>‘cluster’</w:t>
      </w:r>
      <w:r>
        <w:rPr>
          <w:color w:val="231F20"/>
          <w:spacing w:val="34"/>
        </w:rPr>
        <w:t> </w:t>
      </w:r>
      <w:r>
        <w:rPr>
          <w:color w:val="231F20"/>
        </w:rPr>
        <w:t>system</w:t>
      </w:r>
      <w:r>
        <w:rPr>
          <w:color w:val="231F20"/>
          <w:spacing w:val="36"/>
        </w:rPr>
        <w:t> </w:t>
      </w:r>
      <w:r>
        <w:rPr>
          <w:color w:val="231F20"/>
        </w:rPr>
        <w:t>is</w:t>
      </w:r>
      <w:r>
        <w:rPr>
          <w:color w:val="231F20"/>
          <w:spacing w:val="34"/>
        </w:rPr>
        <w:t> </w:t>
      </w:r>
      <w:r>
        <w:rPr>
          <w:color w:val="231F20"/>
        </w:rPr>
        <w:t>too</w:t>
      </w:r>
      <w:r>
        <w:rPr>
          <w:color w:val="231F20"/>
          <w:spacing w:val="1"/>
          <w:w w:val="101"/>
        </w:rPr>
        <w:t> </w:t>
      </w:r>
      <w:r>
        <w:rPr>
          <w:color w:val="231F20"/>
        </w:rPr>
        <w:t>new</w:t>
      </w:r>
      <w:r>
        <w:rPr>
          <w:color w:val="231F20"/>
          <w:spacing w:val="32"/>
        </w:rPr>
        <w:t> </w:t>
      </w:r>
      <w:r>
        <w:rPr>
          <w:color w:val="231F20"/>
        </w:rPr>
        <w:t>to</w:t>
      </w:r>
      <w:r>
        <w:rPr>
          <w:color w:val="231F20"/>
          <w:spacing w:val="32"/>
        </w:rPr>
        <w:t> </w:t>
      </w:r>
      <w:r>
        <w:rPr>
          <w:color w:val="231F20"/>
        </w:rPr>
        <w:t>be</w:t>
      </w:r>
      <w:r>
        <w:rPr>
          <w:color w:val="231F20"/>
          <w:spacing w:val="32"/>
        </w:rPr>
        <w:t> </w:t>
      </w:r>
      <w:r>
        <w:rPr>
          <w:color w:val="231F20"/>
        </w:rPr>
        <w:t>deﬁnitively</w:t>
      </w:r>
      <w:r>
        <w:rPr>
          <w:color w:val="231F20"/>
          <w:spacing w:val="32"/>
        </w:rPr>
        <w:t> </w:t>
      </w:r>
      <w:r>
        <w:rPr>
          <w:color w:val="231F20"/>
        </w:rPr>
        <w:t>evaluated.</w:t>
      </w:r>
      <w:r>
        <w:rPr>
          <w:rFonts w:ascii="Adobe Jenson Pro Lt Capt" w:hAnsi="Adobe Jenson Pro Lt Capt"/>
          <w:b w:val="0"/>
          <w:color w:val="231F20"/>
          <w:position w:val="6"/>
          <w:sz w:val="12"/>
        </w:rPr>
        <w:t>84</w:t>
      </w:r>
      <w:r>
        <w:rPr>
          <w:rFonts w:ascii="Adobe Jenson Pro Lt Capt" w:hAnsi="Adobe Jenson Pro Lt Capt"/>
          <w:b w:val="0"/>
          <w:color w:val="231F20"/>
          <w:spacing w:val="17"/>
          <w:position w:val="6"/>
          <w:sz w:val="12"/>
        </w:rPr>
        <w:t> </w:t>
      </w:r>
      <w:r>
        <w:rPr>
          <w:color w:val="231F20"/>
        </w:rPr>
        <w:t>However,</w:t>
      </w:r>
      <w:r>
        <w:rPr>
          <w:color w:val="231F20"/>
          <w:spacing w:val="31"/>
        </w:rPr>
        <w:t> </w:t>
      </w:r>
      <w:r>
        <w:rPr>
          <w:color w:val="231F20"/>
        </w:rPr>
        <w:t>every</w:t>
      </w:r>
      <w:r>
        <w:rPr>
          <w:color w:val="231F20"/>
          <w:spacing w:val="31"/>
        </w:rPr>
        <w:t> </w:t>
      </w:r>
      <w:r>
        <w:rPr>
          <w:color w:val="231F20"/>
        </w:rPr>
        <w:t>effort</w:t>
      </w:r>
      <w:r>
        <w:rPr>
          <w:color w:val="231F20"/>
          <w:spacing w:val="31"/>
        </w:rPr>
        <w:t> </w:t>
      </w:r>
      <w:r>
        <w:rPr>
          <w:color w:val="231F20"/>
        </w:rPr>
        <w:t>must</w:t>
      </w:r>
      <w:r>
        <w:rPr>
          <w:color w:val="231F20"/>
          <w:spacing w:val="31"/>
        </w:rPr>
        <w:t> </w:t>
      </w:r>
      <w:r>
        <w:rPr>
          <w:color w:val="231F20"/>
        </w:rPr>
        <w:t>be</w:t>
      </w:r>
      <w:r>
        <w:rPr>
          <w:color w:val="231F20"/>
          <w:spacing w:val="31"/>
        </w:rPr>
        <w:t> </w:t>
      </w:r>
      <w:r>
        <w:rPr>
          <w:color w:val="231F20"/>
        </w:rPr>
        <w:t>made</w:t>
      </w:r>
      <w:r>
        <w:rPr>
          <w:color w:val="231F20"/>
          <w:spacing w:val="31"/>
        </w:rPr>
        <w:t> </w:t>
      </w:r>
      <w:r>
        <w:rPr>
          <w:color w:val="231F20"/>
        </w:rPr>
        <w:t>to</w:t>
      </w:r>
      <w:r>
        <w:rPr>
          <w:color w:val="231F20"/>
          <w:spacing w:val="1"/>
          <w:w w:val="101"/>
        </w:rPr>
        <w:t> </w:t>
      </w:r>
      <w:r>
        <w:rPr>
          <w:color w:val="231F20"/>
        </w:rPr>
        <w:t>ensure that the different clusters, whether  on </w:t>
      </w:r>
      <w:r>
        <w:rPr>
          <w:color w:val="231F20"/>
          <w:spacing w:val="19"/>
        </w:rPr>
        <w:t> </w:t>
      </w:r>
      <w:r>
        <w:rPr>
          <w:color w:val="231F20"/>
        </w:rPr>
        <w:t>protection, </w:t>
      </w:r>
      <w:r>
        <w:rPr>
          <w:color w:val="231F20"/>
          <w:spacing w:val="3"/>
        </w:rPr>
        <w:t> </w:t>
      </w:r>
      <w:r>
        <w:rPr>
          <w:color w:val="231F20"/>
        </w:rPr>
        <w:t>emergency</w:t>
      </w:r>
      <w:r>
        <w:rPr>
          <w:color w:val="231F20"/>
          <w:spacing w:val="1"/>
          <w:w w:val="102"/>
        </w:rPr>
        <w:t> </w:t>
      </w:r>
      <w:r>
        <w:rPr>
          <w:color w:val="231F20"/>
        </w:rPr>
        <w:t>shelter, camp management or early recovery, are working</w:t>
      </w:r>
      <w:r>
        <w:rPr>
          <w:color w:val="231F20"/>
          <w:spacing w:val="39"/>
        </w:rPr>
        <w:t> </w:t>
      </w:r>
      <w:r>
        <w:rPr>
          <w:color w:val="231F20"/>
        </w:rPr>
        <w:t>effectively</w:t>
      </w:r>
      <w:r>
        <w:rPr>
          <w:color w:val="231F20"/>
          <w:spacing w:val="5"/>
        </w:rPr>
        <w:t> </w:t>
      </w:r>
      <w:r>
        <w:rPr>
          <w:color w:val="231F20"/>
        </w:rPr>
        <w:t>for</w:t>
      </w:r>
      <w:r>
        <w:rPr>
          <w:color w:val="231F20"/>
          <w:spacing w:val="1"/>
          <w:w w:val="102"/>
        </w:rPr>
        <w:t> </w:t>
      </w:r>
      <w:r>
        <w:rPr>
          <w:color w:val="231F20"/>
        </w:rPr>
        <w:t>IDPs</w:t>
      </w:r>
      <w:r>
        <w:rPr>
          <w:color w:val="231F20"/>
          <w:spacing w:val="33"/>
        </w:rPr>
        <w:t> </w:t>
      </w:r>
      <w:r>
        <w:rPr>
          <w:color w:val="231F20"/>
        </w:rPr>
        <w:t>and</w:t>
      </w:r>
      <w:r>
        <w:rPr>
          <w:color w:val="231F20"/>
          <w:spacing w:val="34"/>
        </w:rPr>
        <w:t> </w:t>
      </w:r>
      <w:r>
        <w:rPr>
          <w:color w:val="231F20"/>
        </w:rPr>
        <w:t>that</w:t>
      </w:r>
      <w:r>
        <w:rPr>
          <w:color w:val="231F20"/>
          <w:spacing w:val="33"/>
        </w:rPr>
        <w:t> </w:t>
      </w:r>
      <w:r>
        <w:rPr>
          <w:color w:val="231F20"/>
        </w:rPr>
        <w:t>agencies</w:t>
      </w:r>
      <w:r>
        <w:rPr>
          <w:color w:val="231F20"/>
          <w:spacing w:val="34"/>
        </w:rPr>
        <w:t> </w:t>
      </w:r>
      <w:r>
        <w:rPr>
          <w:color w:val="231F20"/>
        </w:rPr>
        <w:t>are</w:t>
      </w:r>
      <w:r>
        <w:rPr>
          <w:color w:val="231F20"/>
          <w:spacing w:val="34"/>
        </w:rPr>
        <w:t> </w:t>
      </w:r>
      <w:r>
        <w:rPr>
          <w:color w:val="231F20"/>
        </w:rPr>
        <w:t>indeed</w:t>
      </w:r>
      <w:r>
        <w:rPr>
          <w:color w:val="231F20"/>
          <w:spacing w:val="33"/>
        </w:rPr>
        <w:t> </w:t>
      </w:r>
      <w:r>
        <w:rPr>
          <w:color w:val="231F20"/>
        </w:rPr>
        <w:t>assuming</w:t>
      </w:r>
      <w:r>
        <w:rPr>
          <w:color w:val="231F20"/>
          <w:spacing w:val="34"/>
        </w:rPr>
        <w:t> </w:t>
      </w:r>
      <w:r>
        <w:rPr>
          <w:color w:val="231F20"/>
        </w:rPr>
        <w:t>accountability</w:t>
      </w:r>
      <w:r>
        <w:rPr>
          <w:color w:val="231F20"/>
          <w:spacing w:val="33"/>
        </w:rPr>
        <w:t> </w:t>
      </w:r>
      <w:r>
        <w:rPr>
          <w:color w:val="231F20"/>
        </w:rPr>
        <w:t>in</w:t>
      </w:r>
      <w:r>
        <w:rPr>
          <w:color w:val="231F20"/>
          <w:spacing w:val="34"/>
        </w:rPr>
        <w:t> </w:t>
      </w:r>
      <w:r>
        <w:rPr>
          <w:color w:val="231F20"/>
        </w:rPr>
        <w:t>the</w:t>
      </w:r>
      <w:r>
        <w:rPr>
          <w:color w:val="231F20"/>
          <w:spacing w:val="34"/>
        </w:rPr>
        <w:t> </w:t>
      </w:r>
      <w:r>
        <w:rPr>
          <w:color w:val="231F20"/>
        </w:rPr>
        <w:t>ﬁeld</w:t>
      </w:r>
      <w:r>
        <w:rPr>
          <w:color w:val="231F20"/>
          <w:spacing w:val="33"/>
        </w:rPr>
        <w:t> </w:t>
      </w:r>
      <w:r>
        <w:rPr>
          <w:color w:val="231F20"/>
        </w:rPr>
        <w:t>in</w:t>
      </w:r>
      <w:r>
        <w:rPr>
          <w:color w:val="231F20"/>
          <w:spacing w:val="1"/>
          <w:w w:val="100"/>
        </w:rPr>
        <w:t> </w:t>
      </w:r>
      <w:r>
        <w:rPr>
          <w:color w:val="231F20"/>
        </w:rPr>
        <w:t>partnership with national and international NGOs.</w:t>
      </w:r>
      <w:r>
        <w:rPr>
          <w:color w:val="231F20"/>
          <w:spacing w:val="44"/>
        </w:rPr>
        <w:t> </w:t>
      </w:r>
      <w:r>
        <w:rPr>
          <w:color w:val="231F20"/>
        </w:rPr>
        <w:t>The</w:t>
      </w:r>
      <w:r>
        <w:rPr>
          <w:color w:val="231F20"/>
          <w:spacing w:val="45"/>
        </w:rPr>
        <w:t> </w:t>
      </w:r>
      <w:r>
        <w:rPr>
          <w:color w:val="231F20"/>
        </w:rPr>
        <w:t>Under-Secretary-</w:t>
      </w:r>
      <w:r>
        <w:rPr>
          <w:color w:val="231F20"/>
          <w:spacing w:val="1"/>
          <w:w w:val="102"/>
        </w:rPr>
        <w:t> </w:t>
      </w:r>
      <w:r>
        <w:rPr>
          <w:color w:val="231F20"/>
        </w:rPr>
        <w:t>General</w:t>
      </w:r>
      <w:r>
        <w:rPr>
          <w:color w:val="231F20"/>
          <w:spacing w:val="29"/>
        </w:rPr>
        <w:t> </w:t>
      </w:r>
      <w:r>
        <w:rPr>
          <w:color w:val="231F20"/>
        </w:rPr>
        <w:t>for</w:t>
      </w:r>
      <w:r>
        <w:rPr>
          <w:color w:val="231F20"/>
          <w:spacing w:val="29"/>
        </w:rPr>
        <w:t> </w:t>
      </w:r>
      <w:r>
        <w:rPr>
          <w:color w:val="231F20"/>
        </w:rPr>
        <w:t>Humanitarian</w:t>
      </w:r>
      <w:r>
        <w:rPr>
          <w:color w:val="231F20"/>
          <w:spacing w:val="29"/>
        </w:rPr>
        <w:t> </w:t>
      </w:r>
      <w:r>
        <w:rPr>
          <w:color w:val="231F20"/>
        </w:rPr>
        <w:t>Affairs</w:t>
      </w:r>
      <w:r>
        <w:rPr>
          <w:color w:val="231F20"/>
          <w:spacing w:val="29"/>
        </w:rPr>
        <w:t> </w:t>
      </w:r>
      <w:r>
        <w:rPr>
          <w:color w:val="231F20"/>
        </w:rPr>
        <w:t>and</w:t>
      </w:r>
      <w:r>
        <w:rPr>
          <w:color w:val="231F20"/>
          <w:spacing w:val="30"/>
        </w:rPr>
        <w:t> </w:t>
      </w:r>
      <w:r>
        <w:rPr>
          <w:color w:val="231F20"/>
        </w:rPr>
        <w:t>his</w:t>
      </w:r>
      <w:r>
        <w:rPr>
          <w:color w:val="231F20"/>
          <w:spacing w:val="29"/>
        </w:rPr>
        <w:t> </w:t>
      </w:r>
      <w:r>
        <w:rPr>
          <w:color w:val="231F20"/>
        </w:rPr>
        <w:t>Resident</w:t>
      </w:r>
      <w:r>
        <w:rPr>
          <w:color w:val="231F20"/>
          <w:spacing w:val="29"/>
        </w:rPr>
        <w:t> </w:t>
      </w:r>
      <w:r>
        <w:rPr>
          <w:color w:val="231F20"/>
        </w:rPr>
        <w:t>and</w:t>
      </w:r>
      <w:r>
        <w:rPr>
          <w:color w:val="231F20"/>
          <w:spacing w:val="29"/>
        </w:rPr>
        <w:t> </w:t>
      </w:r>
      <w:r>
        <w:rPr>
          <w:color w:val="231F20"/>
        </w:rPr>
        <w:t>Humanitarian</w:t>
      </w:r>
      <w:r>
        <w:rPr>
          <w:color w:val="231F20"/>
          <w:spacing w:val="1"/>
          <w:w w:val="100"/>
        </w:rPr>
        <w:t> </w:t>
      </w:r>
      <w:r>
        <w:rPr>
          <w:color w:val="231F20"/>
        </w:rPr>
        <w:t>coordinators</w:t>
      </w:r>
      <w:r>
        <w:rPr>
          <w:color w:val="231F20"/>
          <w:spacing w:val="11"/>
        </w:rPr>
        <w:t> </w:t>
      </w:r>
      <w:r>
        <w:rPr>
          <w:color w:val="231F20"/>
        </w:rPr>
        <w:t>should</w:t>
      </w:r>
      <w:r>
        <w:rPr>
          <w:color w:val="231F20"/>
          <w:spacing w:val="11"/>
        </w:rPr>
        <w:t> </w:t>
      </w:r>
      <w:r>
        <w:rPr>
          <w:color w:val="231F20"/>
        </w:rPr>
        <w:t>review</w:t>
      </w:r>
      <w:r>
        <w:rPr>
          <w:color w:val="231F20"/>
          <w:spacing w:val="11"/>
        </w:rPr>
        <w:t> </w:t>
      </w:r>
      <w:r>
        <w:rPr>
          <w:color w:val="231F20"/>
        </w:rPr>
        <w:t>the</w:t>
      </w:r>
      <w:r>
        <w:rPr>
          <w:color w:val="231F20"/>
          <w:spacing w:val="11"/>
        </w:rPr>
        <w:t> </w:t>
      </w:r>
      <w:r>
        <w:rPr>
          <w:color w:val="231F20"/>
        </w:rPr>
        <w:t>shortcomings</w:t>
      </w:r>
      <w:r>
        <w:rPr>
          <w:color w:val="231F20"/>
          <w:spacing w:val="11"/>
        </w:rPr>
        <w:t> </w:t>
      </w:r>
      <w:r>
        <w:rPr>
          <w:color w:val="231F20"/>
        </w:rPr>
        <w:t>reported</w:t>
      </w:r>
      <w:r>
        <w:rPr>
          <w:color w:val="231F20"/>
          <w:spacing w:val="11"/>
        </w:rPr>
        <w:t> </w:t>
      </w:r>
      <w:r>
        <w:rPr>
          <w:color w:val="231F20"/>
        </w:rPr>
        <w:t>in</w:t>
      </w:r>
      <w:r>
        <w:rPr>
          <w:color w:val="231F20"/>
          <w:spacing w:val="11"/>
        </w:rPr>
        <w:t> </w:t>
      </w:r>
      <w:r>
        <w:rPr>
          <w:color w:val="231F20"/>
        </w:rPr>
        <w:t>the</w:t>
      </w:r>
      <w:r>
        <w:rPr>
          <w:color w:val="231F20"/>
          <w:spacing w:val="11"/>
        </w:rPr>
        <w:t> </w:t>
      </w:r>
      <w:r>
        <w:rPr>
          <w:color w:val="231F20"/>
        </w:rPr>
        <w:t>protection</w:t>
      </w:r>
      <w:r>
        <w:rPr>
          <w:color w:val="231F20"/>
          <w:spacing w:val="1"/>
          <w:w w:val="102"/>
        </w:rPr>
        <w:t> </w:t>
      </w:r>
      <w:r>
        <w:rPr>
          <w:color w:val="231F20"/>
        </w:rPr>
        <w:t>cluster and assume a more overarching commitment to ensure that</w:t>
      </w:r>
      <w:r>
        <w:rPr>
          <w:color w:val="231F20"/>
          <w:spacing w:val="15"/>
        </w:rPr>
        <w:t> </w:t>
      </w:r>
      <w:r>
        <w:rPr>
          <w:color w:val="231F20"/>
        </w:rPr>
        <w:t>pro-</w:t>
      </w:r>
    </w:p>
    <w:p>
      <w:pPr>
        <w:pStyle w:val="BodyText"/>
        <w:spacing w:before="27"/>
        <w:rPr>
          <w:rFonts w:ascii="Adobe Jenson Pro Lt Capt"/>
          <w:b w:val="0"/>
          <w:sz w:val="12"/>
        </w:rPr>
      </w:pPr>
      <w:r>
        <w:rPr>
          <w:color w:val="231F20"/>
        </w:rPr>
        <w:t>tection is provided.</w:t>
      </w:r>
      <w:r>
        <w:rPr>
          <w:rFonts w:ascii="Adobe Jenson Pro Lt Capt"/>
          <w:b w:val="0"/>
          <w:color w:val="231F20"/>
          <w:position w:val="6"/>
          <w:sz w:val="12"/>
        </w:rPr>
        <w:t>85</w:t>
      </w:r>
    </w:p>
    <w:p>
      <w:pPr>
        <w:pStyle w:val="BodyText"/>
        <w:spacing w:line="278" w:lineRule="auto" w:before="34"/>
        <w:ind w:right="118" w:firstLine="180"/>
      </w:pPr>
      <w:r>
        <w:rPr>
          <w:color w:val="231F20"/>
        </w:rPr>
        <w:t>Fourth, as the cluster lead for IDP protection, the UNHCR must assume     a far greater leadership role and seek the resources, international support and</w:t>
      </w:r>
      <w:r>
        <w:rPr>
          <w:color w:val="231F20"/>
          <w:spacing w:val="22"/>
        </w:rPr>
        <w:t> </w:t>
      </w:r>
      <w:r>
        <w:rPr>
          <w:color w:val="231F20"/>
        </w:rPr>
        <w:t>staff</w:t>
      </w:r>
      <w:r>
        <w:rPr>
          <w:color w:val="231F20"/>
          <w:spacing w:val="22"/>
        </w:rPr>
        <w:t> </w:t>
      </w:r>
      <w:r>
        <w:rPr>
          <w:color w:val="231F20"/>
        </w:rPr>
        <w:t>to</w:t>
      </w:r>
      <w:r>
        <w:rPr>
          <w:color w:val="231F20"/>
          <w:spacing w:val="22"/>
        </w:rPr>
        <w:t> </w:t>
      </w:r>
      <w:r>
        <w:rPr>
          <w:color w:val="231F20"/>
        </w:rPr>
        <w:t>do</w:t>
      </w:r>
      <w:r>
        <w:rPr>
          <w:color w:val="231F20"/>
          <w:spacing w:val="23"/>
        </w:rPr>
        <w:t> </w:t>
      </w:r>
      <w:r>
        <w:rPr>
          <w:color w:val="231F20"/>
        </w:rPr>
        <w:t>so.</w:t>
      </w:r>
      <w:r>
        <w:rPr>
          <w:color w:val="231F20"/>
          <w:spacing w:val="22"/>
        </w:rPr>
        <w:t> </w:t>
      </w:r>
      <w:r>
        <w:rPr>
          <w:color w:val="231F20"/>
        </w:rPr>
        <w:t>While</w:t>
      </w:r>
      <w:r>
        <w:rPr>
          <w:color w:val="231F20"/>
          <w:spacing w:val="22"/>
        </w:rPr>
        <w:t> </w:t>
      </w:r>
      <w:r>
        <w:rPr>
          <w:color w:val="231F20"/>
        </w:rPr>
        <w:t>mainstreaming</w:t>
      </w:r>
      <w:r>
        <w:rPr>
          <w:color w:val="231F20"/>
          <w:spacing w:val="22"/>
        </w:rPr>
        <w:t> </w:t>
      </w:r>
      <w:r>
        <w:rPr>
          <w:color w:val="231F20"/>
        </w:rPr>
        <w:t>the</w:t>
      </w:r>
      <w:r>
        <w:rPr>
          <w:color w:val="231F20"/>
          <w:spacing w:val="23"/>
        </w:rPr>
        <w:t> </w:t>
      </w:r>
      <w:r>
        <w:rPr>
          <w:color w:val="231F20"/>
        </w:rPr>
        <w:t>issue,</w:t>
      </w:r>
      <w:r>
        <w:rPr>
          <w:color w:val="231F20"/>
          <w:spacing w:val="22"/>
        </w:rPr>
        <w:t> </w:t>
      </w:r>
      <w:r>
        <w:rPr>
          <w:color w:val="231F20"/>
        </w:rPr>
        <w:t>IDP</w:t>
      </w:r>
      <w:r>
        <w:rPr>
          <w:color w:val="231F20"/>
          <w:spacing w:val="22"/>
        </w:rPr>
        <w:t> </w:t>
      </w:r>
      <w:r>
        <w:rPr>
          <w:color w:val="231F20"/>
        </w:rPr>
        <w:t>protection</w:t>
      </w:r>
      <w:r>
        <w:rPr>
          <w:color w:val="231F20"/>
          <w:spacing w:val="22"/>
        </w:rPr>
        <w:t> </w:t>
      </w:r>
      <w:r>
        <w:rPr>
          <w:color w:val="231F20"/>
        </w:rPr>
        <w:t>must</w:t>
      </w:r>
      <w:r>
        <w:rPr>
          <w:color w:val="231F20"/>
          <w:spacing w:val="23"/>
        </w:rPr>
        <w:t> </w:t>
      </w:r>
      <w:r>
        <w:rPr>
          <w:color w:val="231F20"/>
        </w:rPr>
        <w:t>be</w:t>
      </w:r>
    </w:p>
    <w:p>
      <w:pPr>
        <w:pStyle w:val="BodyText"/>
        <w:spacing w:before="9"/>
        <w:ind w:left="0"/>
        <w:jc w:val="left"/>
        <w:rPr>
          <w:sz w:val="35"/>
        </w:rPr>
      </w:pPr>
    </w:p>
    <w:p>
      <w:pPr>
        <w:spacing w:line="213" w:lineRule="auto" w:before="0"/>
        <w:ind w:left="100" w:right="120" w:firstLine="0"/>
        <w:jc w:val="both"/>
        <w:rPr>
          <w:rFonts w:ascii="Palatino Linotype" w:hAnsi="Palatino Linotype"/>
          <w:sz w:val="15"/>
        </w:rPr>
      </w:pPr>
      <w:r>
        <w:rPr>
          <w:rFonts w:ascii="Palatino Linotype" w:hAnsi="Palatino Linotype"/>
          <w:color w:val="231F20"/>
          <w:sz w:val="15"/>
        </w:rPr>
        <w:t>right</w:t>
      </w:r>
      <w:r>
        <w:rPr>
          <w:rFonts w:ascii="Palatino Linotype" w:hAnsi="Palatino Linotype"/>
          <w:color w:val="231F20"/>
          <w:spacing w:val="-7"/>
          <w:sz w:val="15"/>
        </w:rPr>
        <w:t> </w:t>
      </w:r>
      <w:r>
        <w:rPr>
          <w:rFonts w:ascii="Palatino Linotype" w:hAnsi="Palatino Linotype"/>
          <w:color w:val="231F20"/>
          <w:sz w:val="15"/>
        </w:rPr>
        <w:t>to</w:t>
      </w:r>
      <w:r>
        <w:rPr>
          <w:rFonts w:ascii="Palatino Linotype" w:hAnsi="Palatino Linotype"/>
          <w:color w:val="231F20"/>
          <w:spacing w:val="-7"/>
          <w:sz w:val="15"/>
        </w:rPr>
        <w:t> </w:t>
      </w:r>
      <w:r>
        <w:rPr>
          <w:rFonts w:ascii="Palatino Linotype" w:hAnsi="Palatino Linotype"/>
          <w:color w:val="231F20"/>
          <w:sz w:val="15"/>
        </w:rPr>
        <w:t>return.’</w:t>
      </w:r>
      <w:r>
        <w:rPr>
          <w:rFonts w:ascii="Palatino Linotype" w:hAnsi="Palatino Linotype"/>
          <w:color w:val="231F20"/>
          <w:spacing w:val="-7"/>
          <w:sz w:val="15"/>
        </w:rPr>
        <w:t> </w:t>
      </w:r>
      <w:r>
        <w:rPr>
          <w:rFonts w:ascii="Palatino Linotype" w:hAnsi="Palatino Linotype"/>
          <w:color w:val="231F20"/>
          <w:sz w:val="15"/>
        </w:rPr>
        <w:t>Similarly</w:t>
      </w:r>
      <w:r>
        <w:rPr>
          <w:rFonts w:ascii="Palatino Linotype" w:hAnsi="Palatino Linotype"/>
          <w:color w:val="231F20"/>
          <w:spacing w:val="-7"/>
          <w:sz w:val="15"/>
        </w:rPr>
        <w:t> </w:t>
      </w:r>
      <w:r>
        <w:rPr>
          <w:rFonts w:ascii="Palatino Linotype" w:hAnsi="Palatino Linotype"/>
          <w:color w:val="231F20"/>
          <w:sz w:val="15"/>
        </w:rPr>
        <w:t>in</w:t>
      </w:r>
      <w:r>
        <w:rPr>
          <w:rFonts w:ascii="Palatino Linotype" w:hAnsi="Palatino Linotype"/>
          <w:color w:val="231F20"/>
          <w:spacing w:val="-7"/>
          <w:sz w:val="15"/>
        </w:rPr>
        <w:t> </w:t>
      </w:r>
      <w:r>
        <w:rPr>
          <w:rFonts w:ascii="Palatino Linotype" w:hAnsi="Palatino Linotype"/>
          <w:color w:val="231F20"/>
          <w:sz w:val="15"/>
        </w:rPr>
        <w:t>Turkey,</w:t>
      </w:r>
      <w:r>
        <w:rPr>
          <w:rFonts w:ascii="Palatino Linotype" w:hAnsi="Palatino Linotype"/>
          <w:color w:val="231F20"/>
          <w:spacing w:val="-7"/>
          <w:sz w:val="15"/>
        </w:rPr>
        <w:t> </w:t>
      </w:r>
      <w:r>
        <w:rPr>
          <w:rFonts w:ascii="Palatino Linotype" w:hAnsi="Palatino Linotype"/>
          <w:color w:val="231F20"/>
          <w:sz w:val="15"/>
        </w:rPr>
        <w:t>the</w:t>
      </w:r>
      <w:r>
        <w:rPr>
          <w:rFonts w:ascii="Palatino Linotype" w:hAnsi="Palatino Linotype"/>
          <w:color w:val="231F20"/>
          <w:spacing w:val="-7"/>
          <w:sz w:val="15"/>
        </w:rPr>
        <w:t> </w:t>
      </w:r>
      <w:r>
        <w:rPr>
          <w:rFonts w:ascii="Palatino Linotype" w:hAnsi="Palatino Linotype"/>
          <w:color w:val="231F20"/>
          <w:sz w:val="15"/>
        </w:rPr>
        <w:t>Turkish</w:t>
      </w:r>
      <w:r>
        <w:rPr>
          <w:rFonts w:ascii="Palatino Linotype" w:hAnsi="Palatino Linotype"/>
          <w:color w:val="231F20"/>
          <w:spacing w:val="-7"/>
          <w:sz w:val="15"/>
        </w:rPr>
        <w:t> </w:t>
      </w:r>
      <w:r>
        <w:rPr>
          <w:rFonts w:ascii="Palatino Linotype" w:hAnsi="Palatino Linotype"/>
          <w:color w:val="231F20"/>
          <w:sz w:val="15"/>
        </w:rPr>
        <w:t>Economic</w:t>
      </w:r>
      <w:r>
        <w:rPr>
          <w:rFonts w:ascii="Palatino Linotype" w:hAnsi="Palatino Linotype"/>
          <w:color w:val="231F20"/>
          <w:spacing w:val="-7"/>
          <w:sz w:val="15"/>
        </w:rPr>
        <w:t> </w:t>
      </w:r>
      <w:r>
        <w:rPr>
          <w:rFonts w:ascii="Palatino Linotype" w:hAnsi="Palatino Linotype"/>
          <w:color w:val="231F20"/>
          <w:sz w:val="15"/>
        </w:rPr>
        <w:t>and</w:t>
      </w:r>
      <w:r>
        <w:rPr>
          <w:rFonts w:ascii="Palatino Linotype" w:hAnsi="Palatino Linotype"/>
          <w:color w:val="231F20"/>
          <w:spacing w:val="-7"/>
          <w:sz w:val="15"/>
        </w:rPr>
        <w:t> </w:t>
      </w:r>
      <w:r>
        <w:rPr>
          <w:rFonts w:ascii="Palatino Linotype" w:hAnsi="Palatino Linotype"/>
          <w:color w:val="231F20"/>
          <w:sz w:val="15"/>
        </w:rPr>
        <w:t>Social</w:t>
      </w:r>
      <w:r>
        <w:rPr>
          <w:rFonts w:ascii="Palatino Linotype" w:hAnsi="Palatino Linotype"/>
          <w:color w:val="231F20"/>
          <w:spacing w:val="-7"/>
          <w:sz w:val="15"/>
        </w:rPr>
        <w:t> </w:t>
      </w:r>
      <w:r>
        <w:rPr>
          <w:rFonts w:ascii="Palatino Linotype" w:hAnsi="Palatino Linotype"/>
          <w:color w:val="231F20"/>
          <w:sz w:val="15"/>
        </w:rPr>
        <w:t>Studies</w:t>
      </w:r>
      <w:r>
        <w:rPr>
          <w:rFonts w:ascii="Palatino Linotype" w:hAnsi="Palatino Linotype"/>
          <w:color w:val="231F20"/>
          <w:spacing w:val="-7"/>
          <w:sz w:val="15"/>
        </w:rPr>
        <w:t> </w:t>
      </w:r>
      <w:r>
        <w:rPr>
          <w:rFonts w:ascii="Palatino Linotype" w:hAnsi="Palatino Linotype"/>
          <w:color w:val="231F20"/>
          <w:sz w:val="15"/>
        </w:rPr>
        <w:t>Foundation</w:t>
      </w:r>
      <w:r>
        <w:rPr>
          <w:rFonts w:ascii="Palatino Linotype" w:hAnsi="Palatino Linotype"/>
          <w:color w:val="231F20"/>
          <w:spacing w:val="-7"/>
          <w:sz w:val="15"/>
        </w:rPr>
        <w:t> </w:t>
      </w:r>
      <w:r>
        <w:rPr>
          <w:rFonts w:ascii="Palatino Linotype" w:hAnsi="Palatino Linotype"/>
          <w:color w:val="231F20"/>
          <w:sz w:val="15"/>
        </w:rPr>
        <w:t>(TESEV) called on governments and the international community to lend support not only to IDPs who choose to return but also to those who choose integration or resettlement as solutions. See Cohen, R., </w:t>
      </w:r>
      <w:r>
        <w:rPr>
          <w:rFonts w:ascii="Palatino Linotype" w:hAnsi="Palatino Linotype"/>
          <w:i/>
          <w:color w:val="231F20"/>
          <w:sz w:val="15"/>
        </w:rPr>
        <w:t>Listening to the Voices of the Displaced: Lessons Learned </w:t>
      </w:r>
      <w:r>
        <w:rPr>
          <w:rFonts w:ascii="Palatino Linotype" w:hAnsi="Palatino Linotype"/>
          <w:color w:val="231F20"/>
          <w:sz w:val="15"/>
        </w:rPr>
        <w:t>(Brookings–Bern Project on Internal Dis- placement: Washington, DC, Sep. 2008), pp. 39–40. In the case of refugees, integration in neigh- bouring countries should also be given far greater attention so that their ‘human warehousing’ in camps, without freedom of movement or the right to seek employment, adequate housing or edu- cation,</w:t>
      </w:r>
      <w:r>
        <w:rPr>
          <w:rFonts w:ascii="Palatino Linotype" w:hAnsi="Palatino Linotype"/>
          <w:color w:val="231F20"/>
          <w:spacing w:val="-5"/>
          <w:sz w:val="15"/>
        </w:rPr>
        <w:t> </w:t>
      </w:r>
      <w:r>
        <w:rPr>
          <w:rFonts w:ascii="Palatino Linotype" w:hAnsi="Palatino Linotype"/>
          <w:color w:val="231F20"/>
          <w:sz w:val="15"/>
        </w:rPr>
        <w:t>can</w:t>
      </w:r>
      <w:r>
        <w:rPr>
          <w:rFonts w:ascii="Palatino Linotype" w:hAnsi="Palatino Linotype"/>
          <w:color w:val="231F20"/>
          <w:spacing w:val="-5"/>
          <w:sz w:val="15"/>
        </w:rPr>
        <w:t> </w:t>
      </w:r>
      <w:r>
        <w:rPr>
          <w:rFonts w:ascii="Palatino Linotype" w:hAnsi="Palatino Linotype"/>
          <w:color w:val="231F20"/>
          <w:sz w:val="15"/>
        </w:rPr>
        <w:t>be</w:t>
      </w:r>
      <w:r>
        <w:rPr>
          <w:rFonts w:ascii="Palatino Linotype" w:hAnsi="Palatino Linotype"/>
          <w:color w:val="231F20"/>
          <w:spacing w:val="-4"/>
          <w:sz w:val="15"/>
        </w:rPr>
        <w:t> </w:t>
      </w:r>
      <w:r>
        <w:rPr>
          <w:rFonts w:ascii="Palatino Linotype" w:hAnsi="Palatino Linotype"/>
          <w:color w:val="231F20"/>
          <w:sz w:val="15"/>
        </w:rPr>
        <w:t>addressed.</w:t>
      </w:r>
      <w:r>
        <w:rPr>
          <w:rFonts w:ascii="Palatino Linotype" w:hAnsi="Palatino Linotype"/>
          <w:color w:val="231F20"/>
          <w:spacing w:val="-5"/>
          <w:sz w:val="15"/>
        </w:rPr>
        <w:t> </w:t>
      </w:r>
      <w:r>
        <w:rPr>
          <w:rFonts w:ascii="Palatino Linotype" w:hAnsi="Palatino Linotype"/>
          <w:color w:val="231F20"/>
          <w:sz w:val="15"/>
        </w:rPr>
        <w:t>Smith</w:t>
      </w:r>
      <w:r>
        <w:rPr>
          <w:rFonts w:ascii="Palatino Linotype" w:hAnsi="Palatino Linotype"/>
          <w:color w:val="231F20"/>
          <w:spacing w:val="-5"/>
          <w:sz w:val="15"/>
        </w:rPr>
        <w:t> </w:t>
      </w:r>
      <w:r>
        <w:rPr>
          <w:rFonts w:ascii="Palatino Linotype" w:hAnsi="Palatino Linotype"/>
          <w:color w:val="231F20"/>
          <w:sz w:val="15"/>
        </w:rPr>
        <w:t>(note</w:t>
      </w:r>
      <w:r>
        <w:rPr>
          <w:rFonts w:ascii="Palatino Linotype" w:hAnsi="Palatino Linotype"/>
          <w:color w:val="231F20"/>
          <w:spacing w:val="-4"/>
          <w:sz w:val="15"/>
        </w:rPr>
        <w:t> </w:t>
      </w:r>
      <w:r>
        <w:rPr>
          <w:rFonts w:ascii="Palatino Linotype" w:hAnsi="Palatino Linotype"/>
          <w:color w:val="231F20"/>
          <w:sz w:val="15"/>
        </w:rPr>
        <w:t>18).</w:t>
      </w:r>
    </w:p>
    <w:p>
      <w:pPr>
        <w:pStyle w:val="ListParagraph"/>
        <w:numPr>
          <w:ilvl w:val="0"/>
          <w:numId w:val="4"/>
        </w:numPr>
        <w:tabs>
          <w:tab w:pos="440" w:val="left" w:leader="none"/>
        </w:tabs>
        <w:spacing w:line="213" w:lineRule="auto" w:before="0" w:after="0"/>
        <w:ind w:left="100" w:right="120" w:firstLine="182"/>
        <w:jc w:val="both"/>
        <w:rPr>
          <w:sz w:val="15"/>
        </w:rPr>
      </w:pPr>
      <w:r>
        <w:rPr>
          <w:color w:val="231F20"/>
          <w:sz w:val="15"/>
        </w:rPr>
        <w:t>Brookings–Bern Project on Internal Displacement, </w:t>
      </w:r>
      <w:r>
        <w:rPr>
          <w:i/>
          <w:color w:val="231F20"/>
          <w:sz w:val="15"/>
        </w:rPr>
        <w:t>Addressing Internal Displacement: A Frame- </w:t>
      </w:r>
      <w:r>
        <w:rPr>
          <w:i/>
          <w:color w:val="231F20"/>
          <w:sz w:val="15"/>
        </w:rPr>
        <w:t>work for National Responsibility </w:t>
      </w:r>
      <w:r>
        <w:rPr>
          <w:color w:val="231F20"/>
          <w:sz w:val="15"/>
        </w:rPr>
        <w:t>(Brookings-Bern Project on Internal Displacement: Washington, DC, Apr.</w:t>
      </w:r>
      <w:r>
        <w:rPr>
          <w:color w:val="231F20"/>
          <w:spacing w:val="-9"/>
          <w:sz w:val="15"/>
        </w:rPr>
        <w:t> </w:t>
      </w:r>
      <w:r>
        <w:rPr>
          <w:color w:val="231F20"/>
          <w:sz w:val="15"/>
        </w:rPr>
        <w:t>2005).</w:t>
      </w:r>
    </w:p>
    <w:p>
      <w:pPr>
        <w:pStyle w:val="ListParagraph"/>
        <w:numPr>
          <w:ilvl w:val="0"/>
          <w:numId w:val="4"/>
        </w:numPr>
        <w:tabs>
          <w:tab w:pos="440" w:val="left" w:leader="none"/>
        </w:tabs>
        <w:spacing w:line="216" w:lineRule="auto" w:before="0" w:after="0"/>
        <w:ind w:left="100" w:right="121" w:firstLine="182"/>
        <w:jc w:val="both"/>
        <w:rPr>
          <w:sz w:val="15"/>
        </w:rPr>
      </w:pPr>
      <w:r>
        <w:rPr>
          <w:color w:val="231F20"/>
          <w:sz w:val="15"/>
        </w:rPr>
        <w:t>Crisp, J., </w:t>
      </w:r>
      <w:r>
        <w:rPr>
          <w:i/>
          <w:color w:val="231F20"/>
          <w:sz w:val="15"/>
        </w:rPr>
        <w:t>Forced Displacement in Africa: Dimensions, Difficulties, and Policy Directions</w:t>
      </w:r>
      <w:r>
        <w:rPr>
          <w:color w:val="231F20"/>
          <w:sz w:val="15"/>
        </w:rPr>
        <w:t>, New Issues</w:t>
      </w:r>
      <w:r>
        <w:rPr>
          <w:color w:val="231F20"/>
          <w:spacing w:val="-8"/>
          <w:sz w:val="15"/>
        </w:rPr>
        <w:t> </w:t>
      </w:r>
      <w:r>
        <w:rPr>
          <w:color w:val="231F20"/>
          <w:sz w:val="15"/>
        </w:rPr>
        <w:t>in</w:t>
      </w:r>
      <w:r>
        <w:rPr>
          <w:color w:val="231F20"/>
          <w:spacing w:val="-7"/>
          <w:sz w:val="15"/>
        </w:rPr>
        <w:t> </w:t>
      </w:r>
      <w:r>
        <w:rPr>
          <w:color w:val="231F20"/>
          <w:sz w:val="15"/>
        </w:rPr>
        <w:t>Refugee</w:t>
      </w:r>
      <w:r>
        <w:rPr>
          <w:color w:val="231F20"/>
          <w:spacing w:val="-7"/>
          <w:sz w:val="15"/>
        </w:rPr>
        <w:t> </w:t>
      </w:r>
      <w:r>
        <w:rPr>
          <w:color w:val="231F20"/>
          <w:sz w:val="15"/>
        </w:rPr>
        <w:t>Research,</w:t>
      </w:r>
      <w:r>
        <w:rPr>
          <w:color w:val="231F20"/>
          <w:spacing w:val="-7"/>
          <w:sz w:val="15"/>
        </w:rPr>
        <w:t> </w:t>
      </w:r>
      <w:r>
        <w:rPr>
          <w:color w:val="231F20"/>
          <w:sz w:val="15"/>
        </w:rPr>
        <w:t>Research</w:t>
      </w:r>
      <w:r>
        <w:rPr>
          <w:color w:val="231F20"/>
          <w:spacing w:val="-7"/>
          <w:sz w:val="15"/>
        </w:rPr>
        <w:t> </w:t>
      </w:r>
      <w:r>
        <w:rPr>
          <w:color w:val="231F20"/>
          <w:sz w:val="15"/>
        </w:rPr>
        <w:t>Paper</w:t>
      </w:r>
      <w:r>
        <w:rPr>
          <w:color w:val="231F20"/>
          <w:spacing w:val="-7"/>
          <w:sz w:val="15"/>
        </w:rPr>
        <w:t> </w:t>
      </w:r>
      <w:r>
        <w:rPr>
          <w:color w:val="231F20"/>
          <w:sz w:val="15"/>
        </w:rPr>
        <w:t>no.</w:t>
      </w:r>
      <w:r>
        <w:rPr>
          <w:color w:val="231F20"/>
          <w:spacing w:val="-7"/>
          <w:sz w:val="15"/>
        </w:rPr>
        <w:t> </w:t>
      </w:r>
      <w:r>
        <w:rPr>
          <w:color w:val="231F20"/>
          <w:sz w:val="15"/>
        </w:rPr>
        <w:t>126</w:t>
      </w:r>
      <w:r>
        <w:rPr>
          <w:color w:val="231F20"/>
          <w:spacing w:val="-7"/>
          <w:sz w:val="15"/>
        </w:rPr>
        <w:t> </w:t>
      </w:r>
      <w:r>
        <w:rPr>
          <w:color w:val="231F20"/>
          <w:sz w:val="15"/>
        </w:rPr>
        <w:t>(UNHCR:</w:t>
      </w:r>
      <w:r>
        <w:rPr>
          <w:color w:val="231F20"/>
          <w:spacing w:val="-7"/>
          <w:sz w:val="15"/>
        </w:rPr>
        <w:t> </w:t>
      </w:r>
      <w:r>
        <w:rPr>
          <w:color w:val="231F20"/>
          <w:sz w:val="15"/>
        </w:rPr>
        <w:t>Geneva,</w:t>
      </w:r>
      <w:r>
        <w:rPr>
          <w:color w:val="231F20"/>
          <w:spacing w:val="-7"/>
          <w:sz w:val="15"/>
        </w:rPr>
        <w:t> </w:t>
      </w:r>
      <w:r>
        <w:rPr>
          <w:color w:val="231F20"/>
          <w:sz w:val="15"/>
        </w:rPr>
        <w:t>July</w:t>
      </w:r>
      <w:r>
        <w:rPr>
          <w:color w:val="231F20"/>
          <w:spacing w:val="-7"/>
          <w:sz w:val="15"/>
        </w:rPr>
        <w:t> </w:t>
      </w:r>
      <w:r>
        <w:rPr>
          <w:color w:val="231F20"/>
          <w:sz w:val="15"/>
        </w:rPr>
        <w:t>2006),</w:t>
      </w:r>
      <w:r>
        <w:rPr>
          <w:color w:val="231F20"/>
          <w:spacing w:val="-7"/>
          <w:sz w:val="15"/>
        </w:rPr>
        <w:t> </w:t>
      </w:r>
      <w:r>
        <w:rPr>
          <w:color w:val="231F20"/>
          <w:sz w:val="15"/>
        </w:rPr>
        <w:t>p.</w:t>
      </w:r>
      <w:r>
        <w:rPr>
          <w:color w:val="231F20"/>
          <w:spacing w:val="-7"/>
          <w:sz w:val="15"/>
        </w:rPr>
        <w:t> </w:t>
      </w:r>
      <w:r>
        <w:rPr>
          <w:color w:val="231F20"/>
          <w:sz w:val="15"/>
        </w:rPr>
        <w:t>17.</w:t>
      </w:r>
    </w:p>
    <w:p>
      <w:pPr>
        <w:pStyle w:val="ListParagraph"/>
        <w:numPr>
          <w:ilvl w:val="0"/>
          <w:numId w:val="4"/>
        </w:numPr>
        <w:tabs>
          <w:tab w:pos="440" w:val="left" w:leader="none"/>
        </w:tabs>
        <w:spacing w:line="213" w:lineRule="auto" w:before="0" w:after="0"/>
        <w:ind w:left="100" w:right="121" w:firstLine="182"/>
        <w:jc w:val="right"/>
        <w:rPr>
          <w:i/>
          <w:sz w:val="15"/>
        </w:rPr>
      </w:pPr>
      <w:r>
        <w:rPr>
          <w:color w:val="231F20"/>
          <w:sz w:val="15"/>
        </w:rPr>
        <w:t>Kälin,</w:t>
      </w:r>
      <w:r>
        <w:rPr>
          <w:color w:val="231F20"/>
          <w:spacing w:val="-16"/>
          <w:sz w:val="15"/>
        </w:rPr>
        <w:t> </w:t>
      </w:r>
      <w:r>
        <w:rPr>
          <w:color w:val="231F20"/>
          <w:sz w:val="15"/>
        </w:rPr>
        <w:t>W.,</w:t>
      </w:r>
      <w:r>
        <w:rPr>
          <w:color w:val="231F20"/>
          <w:spacing w:val="-15"/>
          <w:sz w:val="15"/>
        </w:rPr>
        <w:t> </w:t>
      </w:r>
      <w:r>
        <w:rPr>
          <w:color w:val="231F20"/>
          <w:sz w:val="15"/>
        </w:rPr>
        <w:t>‘Durable</w:t>
      </w:r>
      <w:r>
        <w:rPr>
          <w:color w:val="231F20"/>
          <w:spacing w:val="-16"/>
          <w:sz w:val="15"/>
        </w:rPr>
        <w:t> </w:t>
      </w:r>
      <w:r>
        <w:rPr>
          <w:color w:val="231F20"/>
          <w:sz w:val="15"/>
        </w:rPr>
        <w:t>solutions</w:t>
      </w:r>
      <w:r>
        <w:rPr>
          <w:color w:val="231F20"/>
          <w:spacing w:val="-15"/>
          <w:sz w:val="15"/>
        </w:rPr>
        <w:t> </w:t>
      </w:r>
      <w:r>
        <w:rPr>
          <w:color w:val="231F20"/>
          <w:sz w:val="15"/>
        </w:rPr>
        <w:t>for</w:t>
      </w:r>
      <w:r>
        <w:rPr>
          <w:color w:val="231F20"/>
          <w:spacing w:val="-16"/>
          <w:sz w:val="15"/>
        </w:rPr>
        <w:t> </w:t>
      </w:r>
      <w:r>
        <w:rPr>
          <w:color w:val="231F20"/>
          <w:sz w:val="15"/>
        </w:rPr>
        <w:t>internally</w:t>
      </w:r>
      <w:r>
        <w:rPr>
          <w:color w:val="231F20"/>
          <w:spacing w:val="-15"/>
          <w:sz w:val="15"/>
        </w:rPr>
        <w:t> </w:t>
      </w:r>
      <w:r>
        <w:rPr>
          <w:color w:val="231F20"/>
          <w:sz w:val="15"/>
        </w:rPr>
        <w:t>displaced</w:t>
      </w:r>
      <w:r>
        <w:rPr>
          <w:color w:val="231F20"/>
          <w:spacing w:val="-15"/>
          <w:sz w:val="15"/>
        </w:rPr>
        <w:t> </w:t>
      </w:r>
      <w:r>
        <w:rPr>
          <w:color w:val="231F20"/>
          <w:sz w:val="15"/>
        </w:rPr>
        <w:t>persons:</w:t>
      </w:r>
      <w:r>
        <w:rPr>
          <w:color w:val="231F20"/>
          <w:spacing w:val="-16"/>
          <w:sz w:val="15"/>
        </w:rPr>
        <w:t> </w:t>
      </w:r>
      <w:r>
        <w:rPr>
          <w:color w:val="231F20"/>
          <w:sz w:val="15"/>
        </w:rPr>
        <w:t>an</w:t>
      </w:r>
      <w:r>
        <w:rPr>
          <w:color w:val="231F20"/>
          <w:spacing w:val="-15"/>
          <w:sz w:val="15"/>
        </w:rPr>
        <w:t> </w:t>
      </w:r>
      <w:r>
        <w:rPr>
          <w:color w:val="231F20"/>
          <w:sz w:val="15"/>
        </w:rPr>
        <w:t>essential</w:t>
      </w:r>
      <w:r>
        <w:rPr>
          <w:color w:val="231F20"/>
          <w:spacing w:val="-16"/>
          <w:sz w:val="15"/>
        </w:rPr>
        <w:t> </w:t>
      </w:r>
      <w:r>
        <w:rPr>
          <w:color w:val="231F20"/>
          <w:sz w:val="15"/>
        </w:rPr>
        <w:t>dimension</w:t>
      </w:r>
      <w:r>
        <w:rPr>
          <w:color w:val="231F20"/>
          <w:spacing w:val="-15"/>
          <w:sz w:val="15"/>
        </w:rPr>
        <w:t> </w:t>
      </w:r>
      <w:r>
        <w:rPr>
          <w:color w:val="231F20"/>
          <w:sz w:val="15"/>
        </w:rPr>
        <w:t>of</w:t>
      </w:r>
      <w:r>
        <w:rPr>
          <w:color w:val="231F20"/>
          <w:spacing w:val="-15"/>
          <w:sz w:val="15"/>
        </w:rPr>
        <w:t> </w:t>
      </w:r>
      <w:r>
        <w:rPr>
          <w:color w:val="231F20"/>
          <w:sz w:val="15"/>
        </w:rPr>
        <w:t>peace-</w:t>
      </w:r>
      <w:r>
        <w:rPr>
          <w:color w:val="231F20"/>
          <w:w w:val="99"/>
          <w:sz w:val="15"/>
        </w:rPr>
        <w:t> </w:t>
      </w:r>
      <w:r>
        <w:rPr>
          <w:color w:val="231F20"/>
          <w:sz w:val="15"/>
        </w:rPr>
        <w:t>building’,</w:t>
      </w:r>
      <w:r>
        <w:rPr>
          <w:color w:val="231F20"/>
          <w:spacing w:val="-26"/>
          <w:sz w:val="15"/>
        </w:rPr>
        <w:t> </w:t>
      </w:r>
      <w:r>
        <w:rPr>
          <w:color w:val="231F20"/>
          <w:sz w:val="15"/>
        </w:rPr>
        <w:t>Statement</w:t>
      </w:r>
      <w:r>
        <w:rPr>
          <w:color w:val="231F20"/>
          <w:spacing w:val="-25"/>
          <w:sz w:val="15"/>
        </w:rPr>
        <w:t> </w:t>
      </w:r>
      <w:r>
        <w:rPr>
          <w:color w:val="231F20"/>
          <w:sz w:val="15"/>
        </w:rPr>
        <w:t>before</w:t>
      </w:r>
      <w:r>
        <w:rPr>
          <w:color w:val="231F20"/>
          <w:spacing w:val="-25"/>
          <w:sz w:val="15"/>
        </w:rPr>
        <w:t> </w:t>
      </w:r>
      <w:r>
        <w:rPr>
          <w:color w:val="231F20"/>
          <w:sz w:val="15"/>
        </w:rPr>
        <w:t>the</w:t>
      </w:r>
      <w:r>
        <w:rPr>
          <w:color w:val="231F20"/>
          <w:spacing w:val="-25"/>
          <w:sz w:val="15"/>
        </w:rPr>
        <w:t> </w:t>
      </w:r>
      <w:r>
        <w:rPr>
          <w:color w:val="231F20"/>
          <w:sz w:val="15"/>
        </w:rPr>
        <w:t>UN</w:t>
      </w:r>
      <w:r>
        <w:rPr>
          <w:color w:val="231F20"/>
          <w:spacing w:val="-25"/>
          <w:sz w:val="15"/>
        </w:rPr>
        <w:t> </w:t>
      </w:r>
      <w:r>
        <w:rPr>
          <w:color w:val="231F20"/>
          <w:sz w:val="15"/>
        </w:rPr>
        <w:t>Peacebuilding</w:t>
      </w:r>
      <w:r>
        <w:rPr>
          <w:color w:val="231F20"/>
          <w:spacing w:val="-25"/>
          <w:sz w:val="15"/>
        </w:rPr>
        <w:t> </w:t>
      </w:r>
      <w:r>
        <w:rPr>
          <w:color w:val="231F20"/>
          <w:sz w:val="15"/>
        </w:rPr>
        <w:t>Commission,</w:t>
      </w:r>
      <w:r>
        <w:rPr>
          <w:color w:val="231F20"/>
          <w:spacing w:val="-25"/>
          <w:sz w:val="15"/>
        </w:rPr>
        <w:t> </w:t>
      </w:r>
      <w:r>
        <w:rPr>
          <w:color w:val="231F20"/>
          <w:sz w:val="15"/>
        </w:rPr>
        <w:t>Working</w:t>
      </w:r>
      <w:r>
        <w:rPr>
          <w:color w:val="231F20"/>
          <w:spacing w:val="-26"/>
          <w:sz w:val="15"/>
        </w:rPr>
        <w:t> </w:t>
      </w:r>
      <w:r>
        <w:rPr>
          <w:color w:val="231F20"/>
          <w:sz w:val="15"/>
        </w:rPr>
        <w:t>Group</w:t>
      </w:r>
      <w:r>
        <w:rPr>
          <w:color w:val="231F20"/>
          <w:spacing w:val="-25"/>
          <w:sz w:val="15"/>
        </w:rPr>
        <w:t> </w:t>
      </w:r>
      <w:r>
        <w:rPr>
          <w:color w:val="231F20"/>
          <w:sz w:val="15"/>
        </w:rPr>
        <w:t>on</w:t>
      </w:r>
      <w:r>
        <w:rPr>
          <w:color w:val="231F20"/>
          <w:spacing w:val="-25"/>
          <w:sz w:val="15"/>
        </w:rPr>
        <w:t> </w:t>
      </w:r>
      <w:r>
        <w:rPr>
          <w:color w:val="231F20"/>
          <w:sz w:val="15"/>
        </w:rPr>
        <w:t>Lessons</w:t>
      </w:r>
      <w:r>
        <w:rPr>
          <w:color w:val="231F20"/>
          <w:spacing w:val="-25"/>
          <w:sz w:val="15"/>
        </w:rPr>
        <w:t> </w:t>
      </w:r>
      <w:r>
        <w:rPr>
          <w:color w:val="231F20"/>
          <w:sz w:val="15"/>
        </w:rPr>
        <w:t>Learned,</w:t>
      </w:r>
      <w:r>
        <w:rPr>
          <w:color w:val="231F20"/>
          <w:w w:val="97"/>
          <w:sz w:val="15"/>
        </w:rPr>
        <w:t> </w:t>
      </w:r>
      <w:r>
        <w:rPr>
          <w:color w:val="231F20"/>
          <w:w w:val="95"/>
          <w:sz w:val="15"/>
        </w:rPr>
        <w:t>13  Mar. </w:t>
      </w:r>
      <w:r>
        <w:rPr>
          <w:color w:val="231F20"/>
          <w:spacing w:val="7"/>
          <w:w w:val="95"/>
          <w:sz w:val="15"/>
        </w:rPr>
        <w:t> </w:t>
      </w:r>
      <w:r>
        <w:rPr>
          <w:color w:val="231F20"/>
          <w:w w:val="95"/>
          <w:sz w:val="15"/>
        </w:rPr>
        <w:t>2008, </w:t>
      </w:r>
      <w:r>
        <w:rPr>
          <w:color w:val="231F20"/>
          <w:spacing w:val="4"/>
          <w:w w:val="95"/>
          <w:sz w:val="15"/>
        </w:rPr>
        <w:t> </w:t>
      </w:r>
      <w:hyperlink r:id="rId37">
        <w:r>
          <w:rPr>
            <w:color w:val="231F20"/>
            <w:w w:val="95"/>
            <w:sz w:val="15"/>
          </w:rPr>
          <w:t>&lt;http://www.brookings.edu/speeches/2008/0313_internal_displacement_kalin.aspx&gt;.</w:t>
        </w:r>
      </w:hyperlink>
      <w:r>
        <w:rPr>
          <w:color w:val="231F20"/>
          <w:w w:val="98"/>
          <w:sz w:val="15"/>
        </w:rPr>
        <w:t> </w:t>
      </w:r>
      <w:r>
        <w:rPr>
          <w:rFonts w:ascii="Adobe Jenson Pro Lt Capt" w:hAnsi="Adobe Jenson Pro Lt Capt"/>
          <w:b w:val="0"/>
          <w:color w:val="231F20"/>
          <w:position w:val="4"/>
          <w:sz w:val="12"/>
        </w:rPr>
        <w:t>84</w:t>
      </w:r>
      <w:r>
        <w:rPr>
          <w:rFonts w:ascii="Adobe Jenson Pro Lt Capt" w:hAnsi="Adobe Jenson Pro Lt Capt"/>
          <w:b w:val="0"/>
          <w:color w:val="231F20"/>
          <w:spacing w:val="-4"/>
          <w:position w:val="4"/>
          <w:sz w:val="12"/>
        </w:rPr>
        <w:t> </w:t>
      </w:r>
      <w:r>
        <w:rPr>
          <w:color w:val="231F20"/>
          <w:sz w:val="15"/>
        </w:rPr>
        <w:t>See</w:t>
      </w:r>
      <w:r>
        <w:rPr>
          <w:color w:val="231F20"/>
          <w:spacing w:val="15"/>
          <w:sz w:val="15"/>
        </w:rPr>
        <w:t> </w:t>
      </w:r>
      <w:r>
        <w:rPr>
          <w:color w:val="231F20"/>
          <w:sz w:val="15"/>
        </w:rPr>
        <w:t>Davies,</w:t>
      </w:r>
      <w:r>
        <w:rPr>
          <w:color w:val="231F20"/>
          <w:spacing w:val="14"/>
          <w:sz w:val="15"/>
        </w:rPr>
        <w:t> </w:t>
      </w:r>
      <w:r>
        <w:rPr>
          <w:color w:val="231F20"/>
          <w:sz w:val="15"/>
        </w:rPr>
        <w:t>A.,</w:t>
      </w:r>
      <w:r>
        <w:rPr>
          <w:color w:val="231F20"/>
          <w:spacing w:val="15"/>
          <w:sz w:val="15"/>
        </w:rPr>
        <w:t> </w:t>
      </w:r>
      <w:r>
        <w:rPr>
          <w:color w:val="231F20"/>
          <w:sz w:val="15"/>
        </w:rPr>
        <w:t>‘Is</w:t>
      </w:r>
      <w:r>
        <w:rPr>
          <w:color w:val="231F20"/>
          <w:spacing w:val="14"/>
          <w:sz w:val="15"/>
        </w:rPr>
        <w:t> </w:t>
      </w:r>
      <w:r>
        <w:rPr>
          <w:color w:val="231F20"/>
          <w:sz w:val="15"/>
        </w:rPr>
        <w:t>humanitarian</w:t>
      </w:r>
      <w:r>
        <w:rPr>
          <w:color w:val="231F20"/>
          <w:spacing w:val="15"/>
          <w:sz w:val="15"/>
        </w:rPr>
        <w:t> </w:t>
      </w:r>
      <w:r>
        <w:rPr>
          <w:color w:val="231F20"/>
          <w:sz w:val="15"/>
        </w:rPr>
        <w:t>reform</w:t>
      </w:r>
      <w:r>
        <w:rPr>
          <w:color w:val="231F20"/>
          <w:spacing w:val="15"/>
          <w:sz w:val="15"/>
        </w:rPr>
        <w:t> </w:t>
      </w:r>
      <w:r>
        <w:rPr>
          <w:color w:val="231F20"/>
          <w:sz w:val="15"/>
        </w:rPr>
        <w:t>improving</w:t>
      </w:r>
      <w:r>
        <w:rPr>
          <w:color w:val="231F20"/>
          <w:spacing w:val="14"/>
          <w:sz w:val="15"/>
        </w:rPr>
        <w:t> </w:t>
      </w:r>
      <w:r>
        <w:rPr>
          <w:color w:val="231F20"/>
          <w:sz w:val="15"/>
        </w:rPr>
        <w:t>IDP</w:t>
      </w:r>
      <w:r>
        <w:rPr>
          <w:color w:val="231F20"/>
          <w:spacing w:val="15"/>
          <w:sz w:val="15"/>
        </w:rPr>
        <w:t> </w:t>
      </w:r>
      <w:r>
        <w:rPr>
          <w:color w:val="231F20"/>
          <w:sz w:val="15"/>
        </w:rPr>
        <w:t>protection</w:t>
      </w:r>
      <w:r>
        <w:rPr>
          <w:color w:val="231F20"/>
          <w:spacing w:val="15"/>
          <w:sz w:val="15"/>
        </w:rPr>
        <w:t> </w:t>
      </w:r>
      <w:r>
        <w:rPr>
          <w:color w:val="231F20"/>
          <w:sz w:val="15"/>
        </w:rPr>
        <w:t>and</w:t>
      </w:r>
      <w:r>
        <w:rPr>
          <w:color w:val="231F20"/>
          <w:spacing w:val="14"/>
          <w:sz w:val="15"/>
        </w:rPr>
        <w:t> </w:t>
      </w:r>
      <w:r>
        <w:rPr>
          <w:color w:val="231F20"/>
          <w:sz w:val="15"/>
        </w:rPr>
        <w:t>assistance?’,</w:t>
      </w:r>
      <w:r>
        <w:rPr>
          <w:color w:val="231F20"/>
          <w:spacing w:val="15"/>
          <w:sz w:val="15"/>
        </w:rPr>
        <w:t> </w:t>
      </w:r>
      <w:r>
        <w:rPr>
          <w:i/>
          <w:color w:val="231F20"/>
          <w:sz w:val="15"/>
        </w:rPr>
        <w:t>Forced</w:t>
      </w:r>
    </w:p>
    <w:p>
      <w:pPr>
        <w:spacing w:line="175" w:lineRule="exact" w:before="0"/>
        <w:ind w:left="100" w:right="0" w:firstLine="0"/>
        <w:jc w:val="both"/>
        <w:rPr>
          <w:rFonts w:ascii="Palatino Linotype" w:hAnsi="Palatino Linotype"/>
          <w:sz w:val="15"/>
        </w:rPr>
      </w:pPr>
      <w:r>
        <w:rPr>
          <w:rFonts w:ascii="Palatino Linotype" w:hAnsi="Palatino Linotype"/>
          <w:i/>
          <w:color w:val="231F20"/>
          <w:sz w:val="15"/>
        </w:rPr>
        <w:t>Migration Review</w:t>
      </w:r>
      <w:r>
        <w:rPr>
          <w:rFonts w:ascii="Palatino Linotype" w:hAnsi="Palatino Linotype"/>
          <w:color w:val="231F20"/>
          <w:sz w:val="15"/>
        </w:rPr>
        <w:t>, Dec. 2007, pp. 15–16.</w:t>
      </w:r>
    </w:p>
    <w:p>
      <w:pPr>
        <w:pStyle w:val="ListParagraph"/>
        <w:numPr>
          <w:ilvl w:val="0"/>
          <w:numId w:val="5"/>
        </w:numPr>
        <w:tabs>
          <w:tab w:pos="440" w:val="left" w:leader="none"/>
        </w:tabs>
        <w:spacing w:line="192" w:lineRule="exact" w:before="0" w:after="0"/>
        <w:ind w:left="439" w:right="0" w:hanging="157"/>
        <w:jc w:val="left"/>
        <w:rPr>
          <w:sz w:val="15"/>
        </w:rPr>
      </w:pPr>
      <w:r>
        <w:rPr>
          <w:color w:val="231F20"/>
          <w:sz w:val="15"/>
        </w:rPr>
        <w:t>See</w:t>
      </w:r>
      <w:r>
        <w:rPr>
          <w:color w:val="231F20"/>
          <w:spacing w:val="-5"/>
          <w:sz w:val="15"/>
        </w:rPr>
        <w:t> </w:t>
      </w:r>
      <w:r>
        <w:rPr>
          <w:color w:val="231F20"/>
          <w:sz w:val="15"/>
        </w:rPr>
        <w:t>Internal</w:t>
      </w:r>
      <w:r>
        <w:rPr>
          <w:color w:val="231F20"/>
          <w:spacing w:val="-5"/>
          <w:sz w:val="15"/>
        </w:rPr>
        <w:t> </w:t>
      </w:r>
      <w:r>
        <w:rPr>
          <w:color w:val="231F20"/>
          <w:sz w:val="15"/>
        </w:rPr>
        <w:t>Displacement</w:t>
      </w:r>
      <w:r>
        <w:rPr>
          <w:color w:val="231F20"/>
          <w:spacing w:val="-5"/>
          <w:sz w:val="15"/>
        </w:rPr>
        <w:t> </w:t>
      </w:r>
      <w:r>
        <w:rPr>
          <w:color w:val="231F20"/>
          <w:sz w:val="15"/>
        </w:rPr>
        <w:t>Monitoring</w:t>
      </w:r>
      <w:r>
        <w:rPr>
          <w:color w:val="231F20"/>
          <w:spacing w:val="-4"/>
          <w:sz w:val="15"/>
        </w:rPr>
        <w:t> </w:t>
      </w:r>
      <w:r>
        <w:rPr>
          <w:color w:val="231F20"/>
          <w:sz w:val="15"/>
        </w:rPr>
        <w:t>Centre</w:t>
      </w:r>
      <w:r>
        <w:rPr>
          <w:color w:val="231F20"/>
          <w:spacing w:val="-5"/>
          <w:sz w:val="15"/>
        </w:rPr>
        <w:t> </w:t>
      </w:r>
      <w:r>
        <w:rPr>
          <w:color w:val="231F20"/>
          <w:sz w:val="15"/>
        </w:rPr>
        <w:t>(note</w:t>
      </w:r>
      <w:r>
        <w:rPr>
          <w:color w:val="231F20"/>
          <w:spacing w:val="-5"/>
          <w:sz w:val="15"/>
        </w:rPr>
        <w:t> </w:t>
      </w:r>
      <w:r>
        <w:rPr>
          <w:color w:val="231F20"/>
          <w:sz w:val="15"/>
        </w:rPr>
        <w:t>23),</w:t>
      </w:r>
      <w:r>
        <w:rPr>
          <w:color w:val="231F20"/>
          <w:spacing w:val="-4"/>
          <w:sz w:val="15"/>
        </w:rPr>
        <w:t> </w:t>
      </w:r>
      <w:r>
        <w:rPr>
          <w:color w:val="231F20"/>
          <w:sz w:val="15"/>
        </w:rPr>
        <w:t>p.</w:t>
      </w:r>
      <w:r>
        <w:rPr>
          <w:color w:val="231F20"/>
          <w:spacing w:val="-5"/>
          <w:sz w:val="15"/>
        </w:rPr>
        <w:t> </w:t>
      </w:r>
      <w:r>
        <w:rPr>
          <w:color w:val="231F20"/>
          <w:sz w:val="15"/>
        </w:rPr>
        <w:t>20.</w:t>
      </w:r>
    </w:p>
    <w:p>
      <w:pPr>
        <w:spacing w:after="0" w:line="192" w:lineRule="exact"/>
        <w:jc w:val="left"/>
        <w:rPr>
          <w:sz w:val="15"/>
        </w:rPr>
        <w:sectPr>
          <w:pgSz w:w="8850" w:h="13270"/>
          <w:pgMar w:header="752" w:footer="0" w:top="1080" w:bottom="280" w:left="1080" w:right="1060"/>
        </w:sectPr>
      </w:pPr>
    </w:p>
    <w:p>
      <w:pPr>
        <w:pStyle w:val="BodyText"/>
        <w:spacing w:line="278" w:lineRule="auto" w:before="141"/>
        <w:ind w:right="117"/>
      </w:pPr>
      <w:r>
        <w:rPr>
          <w:color w:val="231F20"/>
        </w:rPr>
        <w:t>maintained as a core activity. This will mean training and assigning  dedicated senior staff to IDP protection, creating a rapidly deployable team  of IDP protection officers, increasing the UNHCR presence in the ﬁeld in areas where IDPs are vulnerable, training NGO partners in protection, identifying ways of protecting IDPs in urban areas and protracted situ- ations, and undertaking more proactive advocacy. The need for a more comprehensive institutional arrangement for people uprooted from their homes externally and internally is long overdue. While there is no question that refugees and IDPs should have separate legal systems, and that the UNHCR’s mandate relates to refugees, operationally  the  agency  should  seek to close the gap between refugee and IDP protection, or else acknow- ledge that IDPs will need a different and more effective  institution  to  protect and assist them. In such case, a separate UN entity should be con- sidered.</w:t>
      </w:r>
    </w:p>
    <w:p>
      <w:pPr>
        <w:pStyle w:val="BodyText"/>
        <w:spacing w:line="278" w:lineRule="auto"/>
        <w:ind w:right="116" w:firstLine="180"/>
      </w:pPr>
      <w:r>
        <w:rPr>
          <w:color w:val="231F20"/>
        </w:rPr>
        <w:t>Fifth, given the absence of effective institutional arrangements for IDPs,     a dedicated UN official focused exclusively on the plight of IDPs remains essential. Yet the UN Human Rights Council has made it  known  that  in 2010 it plans to replace the position of Representative of the UN Secretary- General on the Human Rights of IDPs with a  rapporteur  who  will  have little or no connection to the senior humanitarian or political offices of the UN or bear the authority of the Secretary-General. The declared intent is to make the position equal to all other rapporteurs  associated  with  the  Human Rights Council, but the effect will be a downgrading of the position that will leave a vacuum in IDP protection. The plan should be recon-  sidered from the perspective of its impact on IDPs. If the stature and authority of the position are not maintained, the international community should consider converting it from a voluntary expert post to a full-time   paid position in the office of the Secretary-General or another part of the   UN Secretariat. The catalytic role played by the Representative should be continued until such time as the UNHCR effectively expands its role to include IDPs or a separate entity is</w:t>
      </w:r>
      <w:r>
        <w:rPr>
          <w:color w:val="231F20"/>
          <w:spacing w:val="1"/>
        </w:rPr>
        <w:t> </w:t>
      </w:r>
      <w:r>
        <w:rPr>
          <w:color w:val="231F20"/>
        </w:rPr>
        <w:t>created.</w:t>
      </w:r>
    </w:p>
    <w:p>
      <w:pPr>
        <w:pStyle w:val="BodyText"/>
        <w:spacing w:line="278" w:lineRule="auto"/>
        <w:ind w:right="115" w:firstLine="180"/>
        <w:rPr>
          <w:rFonts w:ascii="Adobe Jenson Pro Lt Capt" w:hAnsi="Adobe Jenson Pro Lt Capt"/>
          <w:b w:val="0"/>
          <w:sz w:val="12"/>
        </w:rPr>
      </w:pPr>
      <w:r>
        <w:rPr>
          <w:color w:val="231F20"/>
        </w:rPr>
        <w:t>Sixth, for IDPs caught up in conﬂict situations, dialogue with insurgent groups should be considered a form of protection. Since large numbers of IDPs and other civilians are often under insurgent control, the former UN Under-Secretary-General for Humanitarian Affairs, Jan Egeland, has called dialogue with them ‘a humanitarian necessity’.</w:t>
      </w:r>
      <w:r>
        <w:rPr>
          <w:rFonts w:ascii="Adobe Jenson Pro Lt Capt" w:hAnsi="Adobe Jenson Pro Lt Capt"/>
          <w:b w:val="0"/>
          <w:color w:val="231F20"/>
          <w:position w:val="6"/>
          <w:sz w:val="12"/>
        </w:rPr>
        <w:t>86</w:t>
      </w:r>
    </w:p>
    <w:p>
      <w:pPr>
        <w:pStyle w:val="BodyText"/>
        <w:spacing w:line="278" w:lineRule="auto"/>
        <w:ind w:right="118" w:firstLine="180"/>
      </w:pPr>
      <w:r>
        <w:rPr>
          <w:color w:val="231F20"/>
        </w:rPr>
        <w:t>Governments nonetheless regularly try to limit or prohibit official con-  tact with armed groups on the grounds that this would confer legitimacy on them, recognize their de facto control or be tantamount to working</w:t>
      </w:r>
      <w:r>
        <w:rPr>
          <w:color w:val="231F20"/>
          <w:spacing w:val="-20"/>
        </w:rPr>
        <w:t> </w:t>
      </w:r>
      <w:r>
        <w:rPr>
          <w:color w:val="231F20"/>
        </w:rPr>
        <w:t>with</w:t>
      </w:r>
    </w:p>
    <w:p>
      <w:pPr>
        <w:pStyle w:val="BodyText"/>
        <w:spacing w:before="9"/>
        <w:ind w:left="0"/>
        <w:jc w:val="left"/>
        <w:rPr>
          <w:sz w:val="20"/>
        </w:rPr>
      </w:pPr>
    </w:p>
    <w:p>
      <w:pPr>
        <w:pStyle w:val="ListParagraph"/>
        <w:numPr>
          <w:ilvl w:val="0"/>
          <w:numId w:val="5"/>
        </w:numPr>
        <w:tabs>
          <w:tab w:pos="440" w:val="left" w:leader="none"/>
        </w:tabs>
        <w:spacing w:line="213" w:lineRule="auto" w:before="1" w:after="0"/>
        <w:ind w:left="100" w:right="120" w:firstLine="182"/>
        <w:jc w:val="both"/>
        <w:rPr>
          <w:sz w:val="15"/>
        </w:rPr>
      </w:pPr>
      <w:r>
        <w:rPr>
          <w:color w:val="231F20"/>
          <w:sz w:val="15"/>
        </w:rPr>
        <w:t>See McHugh, G. and Bessler, M., </w:t>
      </w:r>
      <w:r>
        <w:rPr>
          <w:i/>
          <w:color w:val="231F20"/>
          <w:sz w:val="15"/>
        </w:rPr>
        <w:t>Humanitarian Negotiations with Armed Groups: A Manual for </w:t>
      </w:r>
      <w:r>
        <w:rPr>
          <w:i/>
          <w:color w:val="231F20"/>
          <w:sz w:val="15"/>
        </w:rPr>
        <w:t>Practitioners </w:t>
      </w:r>
      <w:r>
        <w:rPr>
          <w:color w:val="231F20"/>
          <w:sz w:val="15"/>
        </w:rPr>
        <w:t>(UN Office for the Coordination of Humanitarian Affairs: New York, Jan. 2006); and McHugh, G. and Bessler, M., </w:t>
      </w:r>
      <w:r>
        <w:rPr>
          <w:i/>
          <w:color w:val="231F20"/>
          <w:sz w:val="15"/>
        </w:rPr>
        <w:t>Guidelines on Humanitarian Negotiations with Armed Groups </w:t>
      </w:r>
      <w:r>
        <w:rPr>
          <w:color w:val="231F20"/>
          <w:sz w:val="15"/>
        </w:rPr>
        <w:t>(UN Office</w:t>
      </w:r>
      <w:r>
        <w:rPr>
          <w:color w:val="231F20"/>
          <w:spacing w:val="-6"/>
          <w:sz w:val="15"/>
        </w:rPr>
        <w:t> </w:t>
      </w:r>
      <w:r>
        <w:rPr>
          <w:color w:val="231F20"/>
          <w:sz w:val="15"/>
        </w:rPr>
        <w:t>for</w:t>
      </w:r>
      <w:r>
        <w:rPr>
          <w:color w:val="231F20"/>
          <w:spacing w:val="-6"/>
          <w:sz w:val="15"/>
        </w:rPr>
        <w:t> </w:t>
      </w:r>
      <w:r>
        <w:rPr>
          <w:color w:val="231F20"/>
          <w:sz w:val="15"/>
        </w:rPr>
        <w:t>the</w:t>
      </w:r>
      <w:r>
        <w:rPr>
          <w:color w:val="231F20"/>
          <w:spacing w:val="-6"/>
          <w:sz w:val="15"/>
        </w:rPr>
        <w:t> </w:t>
      </w:r>
      <w:r>
        <w:rPr>
          <w:color w:val="231F20"/>
          <w:sz w:val="15"/>
        </w:rPr>
        <w:t>Coordination</w:t>
      </w:r>
      <w:r>
        <w:rPr>
          <w:color w:val="231F20"/>
          <w:spacing w:val="-6"/>
          <w:sz w:val="15"/>
        </w:rPr>
        <w:t> </w:t>
      </w:r>
      <w:r>
        <w:rPr>
          <w:color w:val="231F20"/>
          <w:sz w:val="15"/>
        </w:rPr>
        <w:t>of</w:t>
      </w:r>
      <w:r>
        <w:rPr>
          <w:color w:val="231F20"/>
          <w:spacing w:val="-6"/>
          <w:sz w:val="15"/>
        </w:rPr>
        <w:t> </w:t>
      </w:r>
      <w:r>
        <w:rPr>
          <w:color w:val="231F20"/>
          <w:sz w:val="15"/>
        </w:rPr>
        <w:t>Humanitarian</w:t>
      </w:r>
      <w:r>
        <w:rPr>
          <w:color w:val="231F20"/>
          <w:spacing w:val="-6"/>
          <w:sz w:val="15"/>
        </w:rPr>
        <w:t> </w:t>
      </w:r>
      <w:r>
        <w:rPr>
          <w:color w:val="231F20"/>
          <w:sz w:val="15"/>
        </w:rPr>
        <w:t>Affairs:</w:t>
      </w:r>
      <w:r>
        <w:rPr>
          <w:color w:val="231F20"/>
          <w:spacing w:val="-6"/>
          <w:sz w:val="15"/>
        </w:rPr>
        <w:t> </w:t>
      </w:r>
      <w:r>
        <w:rPr>
          <w:color w:val="231F20"/>
          <w:sz w:val="15"/>
        </w:rPr>
        <w:t>New</w:t>
      </w:r>
      <w:r>
        <w:rPr>
          <w:color w:val="231F20"/>
          <w:spacing w:val="-6"/>
          <w:sz w:val="15"/>
        </w:rPr>
        <w:t> </w:t>
      </w:r>
      <w:r>
        <w:rPr>
          <w:color w:val="231F20"/>
          <w:sz w:val="15"/>
        </w:rPr>
        <w:t>York,</w:t>
      </w:r>
      <w:r>
        <w:rPr>
          <w:color w:val="231F20"/>
          <w:spacing w:val="-6"/>
          <w:sz w:val="15"/>
        </w:rPr>
        <w:t> </w:t>
      </w:r>
      <w:r>
        <w:rPr>
          <w:color w:val="231F20"/>
          <w:sz w:val="15"/>
        </w:rPr>
        <w:t>Jan.</w:t>
      </w:r>
      <w:r>
        <w:rPr>
          <w:color w:val="231F20"/>
          <w:spacing w:val="-6"/>
          <w:sz w:val="15"/>
        </w:rPr>
        <w:t> </w:t>
      </w:r>
      <w:r>
        <w:rPr>
          <w:color w:val="231F20"/>
          <w:sz w:val="15"/>
        </w:rPr>
        <w:t>2006).</w:t>
      </w:r>
    </w:p>
    <w:p>
      <w:pPr>
        <w:spacing w:after="0" w:line="213" w:lineRule="auto"/>
        <w:jc w:val="both"/>
        <w:rPr>
          <w:sz w:val="15"/>
        </w:rPr>
        <w:sectPr>
          <w:pgSz w:w="8850" w:h="13270"/>
          <w:pgMar w:header="793" w:footer="0" w:top="1080" w:bottom="280" w:left="1080" w:right="1060"/>
        </w:sectPr>
      </w:pPr>
    </w:p>
    <w:p>
      <w:pPr>
        <w:pStyle w:val="BodyText"/>
        <w:spacing w:line="278" w:lineRule="auto" w:before="141"/>
        <w:ind w:left="101" w:right="119"/>
        <w:rPr>
          <w:rFonts w:ascii="Adobe Jenson Pro Lt Capt" w:hAnsi="Adobe Jenson Pro Lt Capt"/>
          <w:b w:val="0"/>
          <w:sz w:val="12"/>
        </w:rPr>
      </w:pPr>
      <w:r>
        <w:rPr>
          <w:color w:val="231F20"/>
        </w:rPr>
        <w:t>‘terrorists’. As a result, UN staff are often cautious, fearing strains in their relations with governments or even expulsion if they proactively discuss access or protection issues with insurgents.</w:t>
      </w:r>
      <w:r>
        <w:rPr>
          <w:rFonts w:ascii="Adobe Jenson Pro Lt Capt" w:hAnsi="Adobe Jenson Pro Lt Capt"/>
          <w:b w:val="0"/>
          <w:color w:val="231F20"/>
          <w:position w:val="6"/>
          <w:sz w:val="12"/>
        </w:rPr>
        <w:t>87</w:t>
      </w:r>
    </w:p>
    <w:p>
      <w:pPr>
        <w:pStyle w:val="BodyText"/>
        <w:spacing w:line="278" w:lineRule="auto"/>
        <w:ind w:right="119" w:firstLine="180"/>
        <w:rPr>
          <w:rFonts w:ascii="Adobe Jenson Pro Lt Capt" w:hAnsi="Adobe Jenson Pro Lt Capt"/>
          <w:b w:val="0"/>
          <w:sz w:val="12"/>
        </w:rPr>
      </w:pPr>
      <w:r>
        <w:rPr>
          <w:color w:val="231F20"/>
        </w:rPr>
        <w:t>Without such relationships, however, the provision of life-sustaining assistance and protection to the displaced and others at risk is ‘simply not possible’.</w:t>
      </w:r>
      <w:r>
        <w:rPr>
          <w:rFonts w:ascii="Adobe Jenson Pro Lt Capt" w:hAnsi="Adobe Jenson Pro Lt Capt"/>
          <w:b w:val="0"/>
          <w:color w:val="231F20"/>
          <w:position w:val="6"/>
          <w:sz w:val="12"/>
        </w:rPr>
        <w:t>88 </w:t>
      </w:r>
      <w:r>
        <w:rPr>
          <w:color w:val="231F20"/>
        </w:rPr>
        <w:t>Egeland has found that interaction can bring relief aid to belea- guered communities, lessen abuse of civilians  and  maintain  ceaseﬁres.</w:t>
      </w:r>
      <w:r>
        <w:rPr>
          <w:rFonts w:ascii="Adobe Jenson Pro Lt Capt" w:hAnsi="Adobe Jenson Pro Lt Capt"/>
          <w:b w:val="0"/>
          <w:color w:val="231F20"/>
          <w:position w:val="6"/>
          <w:sz w:val="12"/>
        </w:rPr>
        <w:t>89  </w:t>
      </w:r>
      <w:r>
        <w:rPr>
          <w:color w:val="231F20"/>
        </w:rPr>
        <w:t>The UN and the NGO community must press for dialogue with  armed  groups while at the same time seeking to reconcile the concerns of govern- ments with such interaction. Dialogue, it should be emphasized, can offer a way of holding non-state armed groups accountable and preventing further abuses. Indeed, the training of non-state actors in humanitarian and human rights standards should be a regular part of humanitarian programmes, especially since some groups will assume responsible governmental pos- itions when conﬂicts</w:t>
      </w:r>
      <w:r>
        <w:rPr>
          <w:color w:val="231F20"/>
          <w:spacing w:val="-2"/>
        </w:rPr>
        <w:t> </w:t>
      </w:r>
      <w:r>
        <w:rPr>
          <w:color w:val="231F20"/>
        </w:rPr>
        <w:t>end.</w:t>
      </w:r>
      <w:r>
        <w:rPr>
          <w:rFonts w:ascii="Adobe Jenson Pro Lt Capt" w:hAnsi="Adobe Jenson Pro Lt Capt"/>
          <w:b w:val="0"/>
          <w:color w:val="231F20"/>
          <w:position w:val="6"/>
          <w:sz w:val="12"/>
        </w:rPr>
        <w:t>90</w:t>
      </w:r>
    </w:p>
    <w:p>
      <w:pPr>
        <w:pStyle w:val="BodyText"/>
        <w:spacing w:line="278" w:lineRule="auto"/>
        <w:ind w:right="116" w:firstLine="180"/>
      </w:pPr>
      <w:r>
        <w:rPr>
          <w:color w:val="231F20"/>
        </w:rPr>
        <w:t>Seventh, the responsibility to protect civilians from mass atrocities must ﬁrst and foremost begin with robust diplomatic, economic and  political  steps to prevent conﬂict and displacement. Prevention, however, is the weakest link in protecting civilians. It is not even a clearly deﬁned concept. The 1948 Genocide Convention, for instance, urges states to take prevent-  ive measures but does not specify what those steps might be or provide a relevant normative framework.</w:t>
      </w:r>
      <w:r>
        <w:rPr>
          <w:rFonts w:ascii="Adobe Jenson Pro Lt Capt" w:hAnsi="Adobe Jenson Pro Lt Capt"/>
          <w:b w:val="0"/>
          <w:color w:val="231F20"/>
          <w:position w:val="6"/>
          <w:sz w:val="12"/>
        </w:rPr>
        <w:t>91 </w:t>
      </w:r>
      <w:r>
        <w:rPr>
          <w:color w:val="231F20"/>
        </w:rPr>
        <w:t>To ﬁll this gap, a better understanding is needed of the indicators of genocide and mass atrocities and of the prac-  tical preventive strategies that should be taken, reinforced by legal norms. The strategies should include building the capacity of states to withstand internal crises and avert displacement as well as engaging UN offices, governments and regional bodies to take concerted action, ranging from diplomacy</w:t>
      </w:r>
      <w:r>
        <w:rPr>
          <w:color w:val="231F20"/>
          <w:spacing w:val="29"/>
        </w:rPr>
        <w:t> </w:t>
      </w:r>
      <w:r>
        <w:rPr>
          <w:color w:val="231F20"/>
        </w:rPr>
        <w:t>to</w:t>
      </w:r>
      <w:r>
        <w:rPr>
          <w:color w:val="231F20"/>
          <w:spacing w:val="30"/>
        </w:rPr>
        <w:t> </w:t>
      </w:r>
      <w:r>
        <w:rPr>
          <w:color w:val="231F20"/>
        </w:rPr>
        <w:t>preventive</w:t>
      </w:r>
      <w:r>
        <w:rPr>
          <w:color w:val="231F20"/>
          <w:spacing w:val="30"/>
        </w:rPr>
        <w:t> </w:t>
      </w:r>
      <w:r>
        <w:rPr>
          <w:color w:val="231F20"/>
        </w:rPr>
        <w:t>deployment.</w:t>
      </w:r>
      <w:r>
        <w:rPr>
          <w:rFonts w:ascii="Adobe Jenson Pro Lt Capt" w:hAnsi="Adobe Jenson Pro Lt Capt"/>
          <w:b w:val="0"/>
          <w:color w:val="231F20"/>
          <w:position w:val="6"/>
          <w:sz w:val="12"/>
        </w:rPr>
        <w:t>92</w:t>
      </w:r>
      <w:r>
        <w:rPr>
          <w:rFonts w:ascii="Adobe Jenson Pro Lt Capt" w:hAnsi="Adobe Jenson Pro Lt Capt"/>
          <w:b w:val="0"/>
          <w:color w:val="231F20"/>
          <w:spacing w:val="16"/>
          <w:position w:val="6"/>
          <w:sz w:val="12"/>
        </w:rPr>
        <w:t> </w:t>
      </w:r>
      <w:r>
        <w:rPr>
          <w:color w:val="231F20"/>
        </w:rPr>
        <w:t>Although</w:t>
      </w:r>
      <w:r>
        <w:rPr>
          <w:color w:val="231F20"/>
          <w:spacing w:val="30"/>
        </w:rPr>
        <w:t> </w:t>
      </w:r>
      <w:r>
        <w:rPr>
          <w:color w:val="231F20"/>
        </w:rPr>
        <w:t>the</w:t>
      </w:r>
      <w:r>
        <w:rPr>
          <w:color w:val="231F20"/>
          <w:spacing w:val="29"/>
        </w:rPr>
        <w:t> </w:t>
      </w:r>
      <w:r>
        <w:rPr>
          <w:color w:val="231F20"/>
        </w:rPr>
        <w:t>halting</w:t>
      </w:r>
      <w:r>
        <w:rPr>
          <w:color w:val="231F20"/>
          <w:spacing w:val="30"/>
        </w:rPr>
        <w:t> </w:t>
      </w:r>
      <w:r>
        <w:rPr>
          <w:color w:val="231F20"/>
        </w:rPr>
        <w:t>of</w:t>
      </w:r>
      <w:r>
        <w:rPr>
          <w:color w:val="231F20"/>
          <w:spacing w:val="30"/>
        </w:rPr>
        <w:t> </w:t>
      </w:r>
      <w:r>
        <w:rPr>
          <w:color w:val="231F20"/>
        </w:rPr>
        <w:t>violence</w:t>
      </w:r>
      <w:r>
        <w:rPr>
          <w:color w:val="231F20"/>
          <w:spacing w:val="30"/>
        </w:rPr>
        <w:t> </w:t>
      </w:r>
      <w:r>
        <w:rPr>
          <w:color w:val="231F20"/>
        </w:rPr>
        <w:t>in</w:t>
      </w:r>
    </w:p>
    <w:p>
      <w:pPr>
        <w:pStyle w:val="BodyText"/>
        <w:spacing w:before="4"/>
        <w:ind w:left="0"/>
        <w:jc w:val="left"/>
        <w:rPr>
          <w:sz w:val="24"/>
        </w:rPr>
      </w:pPr>
    </w:p>
    <w:p>
      <w:pPr>
        <w:pStyle w:val="ListParagraph"/>
        <w:numPr>
          <w:ilvl w:val="0"/>
          <w:numId w:val="5"/>
        </w:numPr>
        <w:tabs>
          <w:tab w:pos="440" w:val="left" w:leader="none"/>
        </w:tabs>
        <w:spacing w:line="190" w:lineRule="exact" w:before="0" w:after="0"/>
        <w:ind w:left="439" w:right="0" w:hanging="157"/>
        <w:jc w:val="both"/>
        <w:rPr>
          <w:sz w:val="15"/>
        </w:rPr>
      </w:pPr>
      <w:r>
        <w:rPr>
          <w:color w:val="231F20"/>
          <w:sz w:val="15"/>
        </w:rPr>
        <w:t>Bagshaw</w:t>
      </w:r>
      <w:r>
        <w:rPr>
          <w:color w:val="231F20"/>
          <w:spacing w:val="-16"/>
          <w:sz w:val="15"/>
        </w:rPr>
        <w:t> </w:t>
      </w:r>
      <w:r>
        <w:rPr>
          <w:color w:val="231F20"/>
          <w:sz w:val="15"/>
        </w:rPr>
        <w:t>and</w:t>
      </w:r>
      <w:r>
        <w:rPr>
          <w:color w:val="231F20"/>
          <w:spacing w:val="-16"/>
          <w:sz w:val="15"/>
        </w:rPr>
        <w:t> </w:t>
      </w:r>
      <w:r>
        <w:rPr>
          <w:color w:val="231F20"/>
          <w:sz w:val="15"/>
        </w:rPr>
        <w:t>Paul</w:t>
      </w:r>
      <w:r>
        <w:rPr>
          <w:color w:val="231F20"/>
          <w:spacing w:val="-16"/>
          <w:sz w:val="15"/>
        </w:rPr>
        <w:t> </w:t>
      </w:r>
      <w:r>
        <w:rPr>
          <w:color w:val="231F20"/>
          <w:sz w:val="15"/>
        </w:rPr>
        <w:t>(note</w:t>
      </w:r>
      <w:r>
        <w:rPr>
          <w:color w:val="231F20"/>
          <w:spacing w:val="-16"/>
          <w:sz w:val="15"/>
        </w:rPr>
        <w:t> </w:t>
      </w:r>
      <w:r>
        <w:rPr>
          <w:color w:val="231F20"/>
          <w:sz w:val="15"/>
        </w:rPr>
        <w:t>57),</w:t>
      </w:r>
      <w:r>
        <w:rPr>
          <w:color w:val="231F20"/>
          <w:spacing w:val="-15"/>
          <w:sz w:val="15"/>
        </w:rPr>
        <w:t> </w:t>
      </w:r>
      <w:r>
        <w:rPr>
          <w:color w:val="231F20"/>
          <w:sz w:val="15"/>
        </w:rPr>
        <w:t>p.</w:t>
      </w:r>
      <w:r>
        <w:rPr>
          <w:color w:val="231F20"/>
          <w:spacing w:val="-16"/>
          <w:sz w:val="15"/>
        </w:rPr>
        <w:t> </w:t>
      </w:r>
      <w:r>
        <w:rPr>
          <w:color w:val="231F20"/>
          <w:sz w:val="15"/>
        </w:rPr>
        <w:t>58.</w:t>
      </w:r>
    </w:p>
    <w:p>
      <w:pPr>
        <w:pStyle w:val="ListParagraph"/>
        <w:numPr>
          <w:ilvl w:val="0"/>
          <w:numId w:val="5"/>
        </w:numPr>
        <w:tabs>
          <w:tab w:pos="440" w:val="left" w:leader="none"/>
        </w:tabs>
        <w:spacing w:line="180" w:lineRule="exact" w:before="0" w:after="0"/>
        <w:ind w:left="439" w:right="0" w:hanging="157"/>
        <w:jc w:val="both"/>
        <w:rPr>
          <w:sz w:val="15"/>
        </w:rPr>
      </w:pPr>
      <w:r>
        <w:rPr>
          <w:color w:val="231F20"/>
          <w:sz w:val="15"/>
        </w:rPr>
        <w:t>Bagshaw</w:t>
      </w:r>
      <w:r>
        <w:rPr>
          <w:color w:val="231F20"/>
          <w:spacing w:val="-16"/>
          <w:sz w:val="15"/>
        </w:rPr>
        <w:t> </w:t>
      </w:r>
      <w:r>
        <w:rPr>
          <w:color w:val="231F20"/>
          <w:sz w:val="15"/>
        </w:rPr>
        <w:t>and</w:t>
      </w:r>
      <w:r>
        <w:rPr>
          <w:color w:val="231F20"/>
          <w:spacing w:val="-16"/>
          <w:sz w:val="15"/>
        </w:rPr>
        <w:t> </w:t>
      </w:r>
      <w:r>
        <w:rPr>
          <w:color w:val="231F20"/>
          <w:sz w:val="15"/>
        </w:rPr>
        <w:t>Paul</w:t>
      </w:r>
      <w:r>
        <w:rPr>
          <w:color w:val="231F20"/>
          <w:spacing w:val="-16"/>
          <w:sz w:val="15"/>
        </w:rPr>
        <w:t> </w:t>
      </w:r>
      <w:r>
        <w:rPr>
          <w:color w:val="231F20"/>
          <w:sz w:val="15"/>
        </w:rPr>
        <w:t>(note</w:t>
      </w:r>
      <w:r>
        <w:rPr>
          <w:color w:val="231F20"/>
          <w:spacing w:val="-16"/>
          <w:sz w:val="15"/>
        </w:rPr>
        <w:t> </w:t>
      </w:r>
      <w:r>
        <w:rPr>
          <w:color w:val="231F20"/>
          <w:sz w:val="15"/>
        </w:rPr>
        <w:t>57),</w:t>
      </w:r>
      <w:r>
        <w:rPr>
          <w:color w:val="231F20"/>
          <w:spacing w:val="-15"/>
          <w:sz w:val="15"/>
        </w:rPr>
        <w:t> </w:t>
      </w:r>
      <w:r>
        <w:rPr>
          <w:color w:val="231F20"/>
          <w:sz w:val="15"/>
        </w:rPr>
        <w:t>p.</w:t>
      </w:r>
      <w:r>
        <w:rPr>
          <w:color w:val="231F20"/>
          <w:spacing w:val="-16"/>
          <w:sz w:val="15"/>
        </w:rPr>
        <w:t> </w:t>
      </w:r>
      <w:r>
        <w:rPr>
          <w:color w:val="231F20"/>
          <w:sz w:val="15"/>
        </w:rPr>
        <w:t>58.</w:t>
      </w:r>
    </w:p>
    <w:p>
      <w:pPr>
        <w:pStyle w:val="ListParagraph"/>
        <w:numPr>
          <w:ilvl w:val="0"/>
          <w:numId w:val="5"/>
        </w:numPr>
        <w:tabs>
          <w:tab w:pos="440" w:val="left" w:leader="none"/>
        </w:tabs>
        <w:spacing w:line="211" w:lineRule="auto" w:before="9" w:after="0"/>
        <w:ind w:left="100" w:right="121" w:firstLine="182"/>
        <w:jc w:val="both"/>
        <w:rPr>
          <w:sz w:val="15"/>
        </w:rPr>
      </w:pPr>
      <w:r>
        <w:rPr>
          <w:color w:val="231F20"/>
          <w:sz w:val="15"/>
        </w:rPr>
        <w:t>Egeland, J., </w:t>
      </w:r>
      <w:r>
        <w:rPr>
          <w:i/>
          <w:color w:val="231F20"/>
          <w:sz w:val="15"/>
        </w:rPr>
        <w:t>A Billion Lives: An Eyewitness Report from the Frontlines of Humanity </w:t>
      </w:r>
      <w:r>
        <w:rPr>
          <w:color w:val="231F20"/>
          <w:sz w:val="15"/>
        </w:rPr>
        <w:t>(Simon &amp; Schuster:</w:t>
      </w:r>
      <w:r>
        <w:rPr>
          <w:color w:val="231F20"/>
          <w:spacing w:val="-5"/>
          <w:sz w:val="15"/>
        </w:rPr>
        <w:t> </w:t>
      </w:r>
      <w:r>
        <w:rPr>
          <w:color w:val="231F20"/>
          <w:sz w:val="15"/>
        </w:rPr>
        <w:t>New</w:t>
      </w:r>
      <w:r>
        <w:rPr>
          <w:color w:val="231F20"/>
          <w:spacing w:val="-4"/>
          <w:sz w:val="15"/>
        </w:rPr>
        <w:t> </w:t>
      </w:r>
      <w:r>
        <w:rPr>
          <w:color w:val="231F20"/>
          <w:sz w:val="15"/>
        </w:rPr>
        <w:t>York,</w:t>
      </w:r>
      <w:r>
        <w:rPr>
          <w:color w:val="231F20"/>
          <w:spacing w:val="-4"/>
          <w:sz w:val="15"/>
        </w:rPr>
        <w:t> </w:t>
      </w:r>
      <w:r>
        <w:rPr>
          <w:color w:val="231F20"/>
          <w:sz w:val="15"/>
        </w:rPr>
        <w:t>2008),</w:t>
      </w:r>
      <w:r>
        <w:rPr>
          <w:color w:val="231F20"/>
          <w:spacing w:val="-4"/>
          <w:sz w:val="15"/>
        </w:rPr>
        <w:t> </w:t>
      </w:r>
      <w:r>
        <w:rPr>
          <w:color w:val="231F20"/>
          <w:sz w:val="15"/>
        </w:rPr>
        <w:t>pp.</w:t>
      </w:r>
      <w:r>
        <w:rPr>
          <w:color w:val="231F20"/>
          <w:spacing w:val="-4"/>
          <w:sz w:val="15"/>
        </w:rPr>
        <w:t> </w:t>
      </w:r>
      <w:r>
        <w:rPr>
          <w:color w:val="231F20"/>
          <w:sz w:val="15"/>
        </w:rPr>
        <w:t>57–58,</w:t>
      </w:r>
      <w:r>
        <w:rPr>
          <w:color w:val="231F20"/>
          <w:spacing w:val="-4"/>
          <w:sz w:val="15"/>
        </w:rPr>
        <w:t> </w:t>
      </w:r>
      <w:r>
        <w:rPr>
          <w:color w:val="231F20"/>
          <w:sz w:val="15"/>
        </w:rPr>
        <w:t>203,</w:t>
      </w:r>
      <w:r>
        <w:rPr>
          <w:color w:val="231F20"/>
          <w:spacing w:val="-4"/>
          <w:sz w:val="15"/>
        </w:rPr>
        <w:t> </w:t>
      </w:r>
      <w:r>
        <w:rPr>
          <w:color w:val="231F20"/>
          <w:sz w:val="15"/>
        </w:rPr>
        <w:t>209,</w:t>
      </w:r>
      <w:r>
        <w:rPr>
          <w:color w:val="231F20"/>
          <w:spacing w:val="-4"/>
          <w:sz w:val="15"/>
        </w:rPr>
        <w:t> </w:t>
      </w:r>
      <w:r>
        <w:rPr>
          <w:color w:val="231F20"/>
          <w:sz w:val="15"/>
        </w:rPr>
        <w:t>214.</w:t>
      </w:r>
    </w:p>
    <w:p>
      <w:pPr>
        <w:pStyle w:val="ListParagraph"/>
        <w:numPr>
          <w:ilvl w:val="0"/>
          <w:numId w:val="5"/>
        </w:numPr>
        <w:tabs>
          <w:tab w:pos="440" w:val="left" w:leader="none"/>
        </w:tabs>
        <w:spacing w:line="213" w:lineRule="auto" w:before="2" w:after="0"/>
        <w:ind w:left="100" w:right="119" w:firstLine="182"/>
        <w:jc w:val="both"/>
        <w:rPr>
          <w:sz w:val="15"/>
        </w:rPr>
      </w:pPr>
      <w:r>
        <w:rPr>
          <w:color w:val="231F20"/>
          <w:sz w:val="15"/>
        </w:rPr>
        <w:t>A Nov. 2002 seminar in Rumbek, Sudan, sought to increase the accountability of non-state actors</w:t>
      </w:r>
      <w:r>
        <w:rPr>
          <w:color w:val="231F20"/>
          <w:spacing w:val="-8"/>
          <w:sz w:val="15"/>
        </w:rPr>
        <w:t> </w:t>
      </w:r>
      <w:r>
        <w:rPr>
          <w:color w:val="231F20"/>
          <w:sz w:val="15"/>
        </w:rPr>
        <w:t>as</w:t>
      </w:r>
      <w:r>
        <w:rPr>
          <w:color w:val="231F20"/>
          <w:spacing w:val="-8"/>
          <w:sz w:val="15"/>
        </w:rPr>
        <w:t> </w:t>
      </w:r>
      <w:r>
        <w:rPr>
          <w:color w:val="231F20"/>
          <w:sz w:val="15"/>
        </w:rPr>
        <w:t>regards</w:t>
      </w:r>
      <w:r>
        <w:rPr>
          <w:color w:val="231F20"/>
          <w:spacing w:val="-8"/>
          <w:sz w:val="15"/>
        </w:rPr>
        <w:t> </w:t>
      </w:r>
      <w:r>
        <w:rPr>
          <w:color w:val="231F20"/>
          <w:sz w:val="15"/>
        </w:rPr>
        <w:t>human</w:t>
      </w:r>
      <w:r>
        <w:rPr>
          <w:color w:val="231F20"/>
          <w:spacing w:val="-7"/>
          <w:sz w:val="15"/>
        </w:rPr>
        <w:t> </w:t>
      </w:r>
      <w:r>
        <w:rPr>
          <w:color w:val="231F20"/>
          <w:sz w:val="15"/>
        </w:rPr>
        <w:t>rights</w:t>
      </w:r>
      <w:r>
        <w:rPr>
          <w:color w:val="231F20"/>
          <w:spacing w:val="-8"/>
          <w:sz w:val="15"/>
        </w:rPr>
        <w:t> </w:t>
      </w:r>
      <w:r>
        <w:rPr>
          <w:color w:val="231F20"/>
          <w:sz w:val="15"/>
        </w:rPr>
        <w:t>and</w:t>
      </w:r>
      <w:r>
        <w:rPr>
          <w:color w:val="231F20"/>
          <w:spacing w:val="-8"/>
          <w:sz w:val="15"/>
        </w:rPr>
        <w:t> </w:t>
      </w:r>
      <w:r>
        <w:rPr>
          <w:color w:val="231F20"/>
          <w:sz w:val="15"/>
        </w:rPr>
        <w:t>humanitarian</w:t>
      </w:r>
      <w:r>
        <w:rPr>
          <w:color w:val="231F20"/>
          <w:spacing w:val="-8"/>
          <w:sz w:val="15"/>
        </w:rPr>
        <w:t> </w:t>
      </w:r>
      <w:r>
        <w:rPr>
          <w:color w:val="231F20"/>
          <w:sz w:val="15"/>
        </w:rPr>
        <w:t>standards</w:t>
      </w:r>
      <w:r>
        <w:rPr>
          <w:color w:val="231F20"/>
          <w:spacing w:val="-7"/>
          <w:sz w:val="15"/>
        </w:rPr>
        <w:t> </w:t>
      </w:r>
      <w:r>
        <w:rPr>
          <w:color w:val="231F20"/>
          <w:sz w:val="15"/>
        </w:rPr>
        <w:t>and</w:t>
      </w:r>
      <w:r>
        <w:rPr>
          <w:color w:val="231F20"/>
          <w:spacing w:val="-8"/>
          <w:sz w:val="15"/>
        </w:rPr>
        <w:t> </w:t>
      </w:r>
      <w:r>
        <w:rPr>
          <w:color w:val="231F20"/>
          <w:sz w:val="15"/>
        </w:rPr>
        <w:t>included</w:t>
      </w:r>
      <w:r>
        <w:rPr>
          <w:color w:val="231F20"/>
          <w:spacing w:val="-8"/>
          <w:sz w:val="15"/>
        </w:rPr>
        <w:t> </w:t>
      </w:r>
      <w:r>
        <w:rPr>
          <w:color w:val="231F20"/>
          <w:sz w:val="15"/>
        </w:rPr>
        <w:t>representatives</w:t>
      </w:r>
      <w:r>
        <w:rPr>
          <w:color w:val="231F20"/>
          <w:spacing w:val="-8"/>
          <w:sz w:val="15"/>
        </w:rPr>
        <w:t> </w:t>
      </w:r>
      <w:r>
        <w:rPr>
          <w:color w:val="231F20"/>
          <w:sz w:val="15"/>
        </w:rPr>
        <w:t>from</w:t>
      </w:r>
      <w:r>
        <w:rPr>
          <w:color w:val="231F20"/>
          <w:spacing w:val="-7"/>
          <w:sz w:val="15"/>
        </w:rPr>
        <w:t> </w:t>
      </w:r>
      <w:r>
        <w:rPr>
          <w:color w:val="231F20"/>
          <w:sz w:val="15"/>
        </w:rPr>
        <w:t>the Sudan</w:t>
      </w:r>
      <w:r>
        <w:rPr>
          <w:color w:val="231F20"/>
          <w:spacing w:val="-11"/>
          <w:sz w:val="15"/>
        </w:rPr>
        <w:t> </w:t>
      </w:r>
      <w:r>
        <w:rPr>
          <w:color w:val="231F20"/>
          <w:sz w:val="15"/>
        </w:rPr>
        <w:t>People’s</w:t>
      </w:r>
      <w:r>
        <w:rPr>
          <w:color w:val="231F20"/>
          <w:spacing w:val="-10"/>
          <w:sz w:val="15"/>
        </w:rPr>
        <w:t> </w:t>
      </w:r>
      <w:r>
        <w:rPr>
          <w:color w:val="231F20"/>
          <w:sz w:val="15"/>
        </w:rPr>
        <w:t>Liberation</w:t>
      </w:r>
      <w:r>
        <w:rPr>
          <w:color w:val="231F20"/>
          <w:spacing w:val="-10"/>
          <w:sz w:val="15"/>
        </w:rPr>
        <w:t> </w:t>
      </w:r>
      <w:r>
        <w:rPr>
          <w:color w:val="231F20"/>
          <w:sz w:val="15"/>
        </w:rPr>
        <w:t>Movement</w:t>
      </w:r>
      <w:r>
        <w:rPr>
          <w:color w:val="231F20"/>
          <w:spacing w:val="-10"/>
          <w:sz w:val="15"/>
        </w:rPr>
        <w:t> </w:t>
      </w:r>
      <w:r>
        <w:rPr>
          <w:color w:val="231F20"/>
          <w:sz w:val="15"/>
        </w:rPr>
        <w:t>(SPLM)</w:t>
      </w:r>
      <w:r>
        <w:rPr>
          <w:color w:val="231F20"/>
          <w:spacing w:val="-10"/>
          <w:sz w:val="15"/>
        </w:rPr>
        <w:t> </w:t>
      </w:r>
      <w:r>
        <w:rPr>
          <w:color w:val="231F20"/>
          <w:sz w:val="15"/>
        </w:rPr>
        <w:t>and</w:t>
      </w:r>
      <w:r>
        <w:rPr>
          <w:color w:val="231F20"/>
          <w:spacing w:val="-10"/>
          <w:sz w:val="15"/>
        </w:rPr>
        <w:t> </w:t>
      </w:r>
      <w:r>
        <w:rPr>
          <w:color w:val="231F20"/>
          <w:sz w:val="15"/>
        </w:rPr>
        <w:t>the</w:t>
      </w:r>
      <w:r>
        <w:rPr>
          <w:color w:val="231F20"/>
          <w:spacing w:val="-10"/>
          <w:sz w:val="15"/>
        </w:rPr>
        <w:t> </w:t>
      </w:r>
      <w:r>
        <w:rPr>
          <w:color w:val="231F20"/>
          <w:sz w:val="15"/>
        </w:rPr>
        <w:t>Sudan</w:t>
      </w:r>
      <w:r>
        <w:rPr>
          <w:color w:val="231F20"/>
          <w:spacing w:val="-10"/>
          <w:sz w:val="15"/>
        </w:rPr>
        <w:t> </w:t>
      </w:r>
      <w:r>
        <w:rPr>
          <w:color w:val="231F20"/>
          <w:sz w:val="15"/>
        </w:rPr>
        <w:t>Relief</w:t>
      </w:r>
      <w:r>
        <w:rPr>
          <w:color w:val="231F20"/>
          <w:spacing w:val="-10"/>
          <w:sz w:val="15"/>
        </w:rPr>
        <w:t> </w:t>
      </w:r>
      <w:r>
        <w:rPr>
          <w:color w:val="231F20"/>
          <w:sz w:val="15"/>
        </w:rPr>
        <w:t>and</w:t>
      </w:r>
      <w:r>
        <w:rPr>
          <w:color w:val="231F20"/>
          <w:spacing w:val="-10"/>
          <w:sz w:val="15"/>
        </w:rPr>
        <w:t> </w:t>
      </w:r>
      <w:r>
        <w:rPr>
          <w:color w:val="231F20"/>
          <w:sz w:val="15"/>
        </w:rPr>
        <w:t>Rehabilitation</w:t>
      </w:r>
      <w:r>
        <w:rPr>
          <w:color w:val="231F20"/>
          <w:spacing w:val="-10"/>
          <w:sz w:val="15"/>
        </w:rPr>
        <w:t> </w:t>
      </w:r>
      <w:r>
        <w:rPr>
          <w:color w:val="231F20"/>
          <w:sz w:val="15"/>
        </w:rPr>
        <w:t>Association, the relief wing of the SPLM/A. See Brookings–SAIS Project on Internal Displacement, the Repre- sentative</w:t>
      </w:r>
      <w:r>
        <w:rPr>
          <w:color w:val="231F20"/>
          <w:spacing w:val="-15"/>
          <w:sz w:val="15"/>
        </w:rPr>
        <w:t> </w:t>
      </w:r>
      <w:r>
        <w:rPr>
          <w:color w:val="231F20"/>
          <w:sz w:val="15"/>
        </w:rPr>
        <w:t>of</w:t>
      </w:r>
      <w:r>
        <w:rPr>
          <w:color w:val="231F20"/>
          <w:spacing w:val="-15"/>
          <w:sz w:val="15"/>
        </w:rPr>
        <w:t> </w:t>
      </w:r>
      <w:r>
        <w:rPr>
          <w:color w:val="231F20"/>
          <w:sz w:val="15"/>
        </w:rPr>
        <w:t>the</w:t>
      </w:r>
      <w:r>
        <w:rPr>
          <w:color w:val="231F20"/>
          <w:spacing w:val="-15"/>
          <w:sz w:val="15"/>
        </w:rPr>
        <w:t> </w:t>
      </w:r>
      <w:r>
        <w:rPr>
          <w:color w:val="231F20"/>
          <w:sz w:val="15"/>
        </w:rPr>
        <w:t>UN</w:t>
      </w:r>
      <w:r>
        <w:rPr>
          <w:color w:val="231F20"/>
          <w:spacing w:val="-14"/>
          <w:sz w:val="15"/>
        </w:rPr>
        <w:t> </w:t>
      </w:r>
      <w:r>
        <w:rPr>
          <w:color w:val="231F20"/>
          <w:sz w:val="15"/>
        </w:rPr>
        <w:t>Secretary-General</w:t>
      </w:r>
      <w:r>
        <w:rPr>
          <w:color w:val="231F20"/>
          <w:spacing w:val="-15"/>
          <w:sz w:val="15"/>
        </w:rPr>
        <w:t> </w:t>
      </w:r>
      <w:r>
        <w:rPr>
          <w:color w:val="231F20"/>
          <w:sz w:val="15"/>
        </w:rPr>
        <w:t>on</w:t>
      </w:r>
      <w:r>
        <w:rPr>
          <w:color w:val="231F20"/>
          <w:spacing w:val="-15"/>
          <w:sz w:val="15"/>
        </w:rPr>
        <w:t> </w:t>
      </w:r>
      <w:r>
        <w:rPr>
          <w:color w:val="231F20"/>
          <w:sz w:val="15"/>
        </w:rPr>
        <w:t>Internally</w:t>
      </w:r>
      <w:r>
        <w:rPr>
          <w:color w:val="231F20"/>
          <w:spacing w:val="-14"/>
          <w:sz w:val="15"/>
        </w:rPr>
        <w:t> </w:t>
      </w:r>
      <w:r>
        <w:rPr>
          <w:color w:val="231F20"/>
          <w:sz w:val="15"/>
        </w:rPr>
        <w:t>Displaced</w:t>
      </w:r>
      <w:r>
        <w:rPr>
          <w:color w:val="231F20"/>
          <w:spacing w:val="-15"/>
          <w:sz w:val="15"/>
        </w:rPr>
        <w:t> </w:t>
      </w:r>
      <w:r>
        <w:rPr>
          <w:color w:val="231F20"/>
          <w:sz w:val="15"/>
        </w:rPr>
        <w:t>Persons</w:t>
      </w:r>
      <w:r>
        <w:rPr>
          <w:color w:val="231F20"/>
          <w:spacing w:val="-15"/>
          <w:sz w:val="15"/>
        </w:rPr>
        <w:t> </w:t>
      </w:r>
      <w:r>
        <w:rPr>
          <w:color w:val="231F20"/>
          <w:sz w:val="15"/>
        </w:rPr>
        <w:t>and</w:t>
      </w:r>
      <w:r>
        <w:rPr>
          <w:color w:val="231F20"/>
          <w:spacing w:val="-15"/>
          <w:sz w:val="15"/>
        </w:rPr>
        <w:t> </w:t>
      </w:r>
      <w:r>
        <w:rPr>
          <w:color w:val="231F20"/>
          <w:sz w:val="15"/>
        </w:rPr>
        <w:t>the</w:t>
      </w:r>
      <w:r>
        <w:rPr>
          <w:color w:val="231F20"/>
          <w:spacing w:val="-14"/>
          <w:sz w:val="15"/>
        </w:rPr>
        <w:t> </w:t>
      </w:r>
      <w:r>
        <w:rPr>
          <w:color w:val="231F20"/>
          <w:sz w:val="15"/>
        </w:rPr>
        <w:t>UN</w:t>
      </w:r>
      <w:r>
        <w:rPr>
          <w:color w:val="231F20"/>
          <w:spacing w:val="-15"/>
          <w:sz w:val="15"/>
        </w:rPr>
        <w:t> </w:t>
      </w:r>
      <w:r>
        <w:rPr>
          <w:color w:val="231F20"/>
          <w:sz w:val="15"/>
        </w:rPr>
        <w:t>Children’s</w:t>
      </w:r>
      <w:r>
        <w:rPr>
          <w:color w:val="231F20"/>
          <w:spacing w:val="-15"/>
          <w:sz w:val="15"/>
        </w:rPr>
        <w:t> </w:t>
      </w:r>
      <w:r>
        <w:rPr>
          <w:color w:val="231F20"/>
          <w:sz w:val="15"/>
        </w:rPr>
        <w:t>Fund, </w:t>
      </w:r>
      <w:r>
        <w:rPr>
          <w:i/>
          <w:color w:val="231F20"/>
          <w:sz w:val="15"/>
        </w:rPr>
        <w:t>Seminar on Internal Displacement in Southern Sudan </w:t>
      </w:r>
      <w:r>
        <w:rPr>
          <w:color w:val="231F20"/>
          <w:sz w:val="15"/>
        </w:rPr>
        <w:t>(Brookings Institution–SAIS Project  on  Internal Displacement: Washington, DC,</w:t>
      </w:r>
      <w:r>
        <w:rPr>
          <w:color w:val="231F20"/>
          <w:spacing w:val="-18"/>
          <w:sz w:val="15"/>
        </w:rPr>
        <w:t> </w:t>
      </w:r>
      <w:r>
        <w:rPr>
          <w:color w:val="231F20"/>
          <w:sz w:val="15"/>
        </w:rPr>
        <w:t>2002).</w:t>
      </w:r>
    </w:p>
    <w:p>
      <w:pPr>
        <w:pStyle w:val="ListParagraph"/>
        <w:numPr>
          <w:ilvl w:val="0"/>
          <w:numId w:val="5"/>
        </w:numPr>
        <w:tabs>
          <w:tab w:pos="440" w:val="left" w:leader="none"/>
        </w:tabs>
        <w:spacing w:line="216" w:lineRule="auto" w:before="0" w:after="0"/>
        <w:ind w:left="100" w:right="121" w:firstLine="182"/>
        <w:jc w:val="both"/>
        <w:rPr>
          <w:sz w:val="15"/>
        </w:rPr>
      </w:pPr>
      <w:r>
        <w:rPr>
          <w:color w:val="231F20"/>
          <w:sz w:val="15"/>
        </w:rPr>
        <w:t>For a brief summary of the Convention on the Prevention and Punishment of the Crime of Genocide,</w:t>
      </w:r>
      <w:r>
        <w:rPr>
          <w:color w:val="231F20"/>
          <w:spacing w:val="-7"/>
          <w:sz w:val="15"/>
        </w:rPr>
        <w:t> </w:t>
      </w:r>
      <w:r>
        <w:rPr>
          <w:color w:val="231F20"/>
          <w:sz w:val="15"/>
        </w:rPr>
        <w:t>a</w:t>
      </w:r>
      <w:r>
        <w:rPr>
          <w:color w:val="231F20"/>
          <w:spacing w:val="-6"/>
          <w:sz w:val="15"/>
        </w:rPr>
        <w:t> </w:t>
      </w:r>
      <w:r>
        <w:rPr>
          <w:color w:val="231F20"/>
          <w:sz w:val="15"/>
        </w:rPr>
        <w:t>link</w:t>
      </w:r>
      <w:r>
        <w:rPr>
          <w:color w:val="231F20"/>
          <w:spacing w:val="-6"/>
          <w:sz w:val="15"/>
        </w:rPr>
        <w:t> </w:t>
      </w:r>
      <w:r>
        <w:rPr>
          <w:color w:val="231F20"/>
          <w:sz w:val="15"/>
        </w:rPr>
        <w:t>to</w:t>
      </w:r>
      <w:r>
        <w:rPr>
          <w:color w:val="231F20"/>
          <w:spacing w:val="-6"/>
          <w:sz w:val="15"/>
        </w:rPr>
        <w:t> </w:t>
      </w:r>
      <w:r>
        <w:rPr>
          <w:color w:val="231F20"/>
          <w:sz w:val="15"/>
        </w:rPr>
        <w:t>the</w:t>
      </w:r>
      <w:r>
        <w:rPr>
          <w:color w:val="231F20"/>
          <w:spacing w:val="-6"/>
          <w:sz w:val="15"/>
        </w:rPr>
        <w:t> </w:t>
      </w:r>
      <w:r>
        <w:rPr>
          <w:color w:val="231F20"/>
          <w:sz w:val="15"/>
        </w:rPr>
        <w:t>text</w:t>
      </w:r>
      <w:r>
        <w:rPr>
          <w:color w:val="231F20"/>
          <w:spacing w:val="-7"/>
          <w:sz w:val="15"/>
        </w:rPr>
        <w:t> </w:t>
      </w:r>
      <w:r>
        <w:rPr>
          <w:color w:val="231F20"/>
          <w:sz w:val="15"/>
        </w:rPr>
        <w:t>and</w:t>
      </w:r>
      <w:r>
        <w:rPr>
          <w:color w:val="231F20"/>
          <w:spacing w:val="-6"/>
          <w:sz w:val="15"/>
        </w:rPr>
        <w:t> </w:t>
      </w:r>
      <w:r>
        <w:rPr>
          <w:color w:val="231F20"/>
          <w:sz w:val="15"/>
        </w:rPr>
        <w:t>a</w:t>
      </w:r>
      <w:r>
        <w:rPr>
          <w:color w:val="231F20"/>
          <w:spacing w:val="-6"/>
          <w:sz w:val="15"/>
        </w:rPr>
        <w:t> </w:t>
      </w:r>
      <w:r>
        <w:rPr>
          <w:color w:val="231F20"/>
          <w:sz w:val="15"/>
        </w:rPr>
        <w:t>list</w:t>
      </w:r>
      <w:r>
        <w:rPr>
          <w:color w:val="231F20"/>
          <w:spacing w:val="-6"/>
          <w:sz w:val="15"/>
        </w:rPr>
        <w:t> </w:t>
      </w:r>
      <w:r>
        <w:rPr>
          <w:color w:val="231F20"/>
          <w:sz w:val="15"/>
        </w:rPr>
        <w:t>of</w:t>
      </w:r>
      <w:r>
        <w:rPr>
          <w:color w:val="231F20"/>
          <w:spacing w:val="-6"/>
          <w:sz w:val="15"/>
        </w:rPr>
        <w:t> </w:t>
      </w:r>
      <w:r>
        <w:rPr>
          <w:color w:val="231F20"/>
          <w:sz w:val="15"/>
        </w:rPr>
        <w:t>its</w:t>
      </w:r>
      <w:r>
        <w:rPr>
          <w:color w:val="231F20"/>
          <w:spacing w:val="-7"/>
          <w:sz w:val="15"/>
        </w:rPr>
        <w:t> </w:t>
      </w:r>
      <w:r>
        <w:rPr>
          <w:color w:val="231F20"/>
          <w:sz w:val="15"/>
        </w:rPr>
        <w:t>parties</w:t>
      </w:r>
      <w:r>
        <w:rPr>
          <w:color w:val="231F20"/>
          <w:spacing w:val="-6"/>
          <w:sz w:val="15"/>
        </w:rPr>
        <w:t> </w:t>
      </w:r>
      <w:r>
        <w:rPr>
          <w:color w:val="231F20"/>
          <w:sz w:val="15"/>
        </w:rPr>
        <w:t>see</w:t>
      </w:r>
      <w:r>
        <w:rPr>
          <w:color w:val="231F20"/>
          <w:spacing w:val="-6"/>
          <w:sz w:val="15"/>
        </w:rPr>
        <w:t> </w:t>
      </w:r>
      <w:r>
        <w:rPr>
          <w:color w:val="231F20"/>
          <w:sz w:val="15"/>
        </w:rPr>
        <w:t>annex</w:t>
      </w:r>
      <w:r>
        <w:rPr>
          <w:color w:val="231F20"/>
          <w:spacing w:val="-6"/>
          <w:sz w:val="15"/>
        </w:rPr>
        <w:t> </w:t>
      </w:r>
      <w:r>
        <w:rPr>
          <w:color w:val="231F20"/>
          <w:sz w:val="15"/>
        </w:rPr>
        <w:t>A</w:t>
      </w:r>
      <w:r>
        <w:rPr>
          <w:color w:val="231F20"/>
          <w:spacing w:val="-6"/>
          <w:sz w:val="15"/>
        </w:rPr>
        <w:t> </w:t>
      </w:r>
      <w:r>
        <w:rPr>
          <w:color w:val="231F20"/>
          <w:sz w:val="15"/>
        </w:rPr>
        <w:t>in</w:t>
      </w:r>
      <w:r>
        <w:rPr>
          <w:color w:val="231F20"/>
          <w:spacing w:val="-6"/>
          <w:sz w:val="15"/>
        </w:rPr>
        <w:t> </w:t>
      </w:r>
      <w:r>
        <w:rPr>
          <w:color w:val="231F20"/>
          <w:sz w:val="15"/>
        </w:rPr>
        <w:t>this</w:t>
      </w:r>
      <w:r>
        <w:rPr>
          <w:color w:val="231F20"/>
          <w:spacing w:val="-7"/>
          <w:sz w:val="15"/>
        </w:rPr>
        <w:t> </w:t>
      </w:r>
      <w:r>
        <w:rPr>
          <w:color w:val="231F20"/>
          <w:sz w:val="15"/>
        </w:rPr>
        <w:t>volume.</w:t>
      </w:r>
    </w:p>
    <w:p>
      <w:pPr>
        <w:pStyle w:val="ListParagraph"/>
        <w:numPr>
          <w:ilvl w:val="0"/>
          <w:numId w:val="5"/>
        </w:numPr>
        <w:tabs>
          <w:tab w:pos="440" w:val="left" w:leader="none"/>
        </w:tabs>
        <w:spacing w:line="213" w:lineRule="auto" w:before="0" w:after="0"/>
        <w:ind w:left="100" w:right="120" w:firstLine="182"/>
        <w:jc w:val="both"/>
        <w:rPr>
          <w:sz w:val="15"/>
        </w:rPr>
      </w:pPr>
      <w:r>
        <w:rPr>
          <w:color w:val="231F20"/>
          <w:sz w:val="15"/>
        </w:rPr>
        <w:t>See</w:t>
      </w:r>
      <w:r>
        <w:rPr>
          <w:color w:val="231F20"/>
          <w:spacing w:val="-12"/>
          <w:sz w:val="15"/>
        </w:rPr>
        <w:t> </w:t>
      </w:r>
      <w:r>
        <w:rPr>
          <w:color w:val="231F20"/>
          <w:sz w:val="15"/>
        </w:rPr>
        <w:t>UN</w:t>
      </w:r>
      <w:r>
        <w:rPr>
          <w:color w:val="231F20"/>
          <w:spacing w:val="-12"/>
          <w:sz w:val="15"/>
        </w:rPr>
        <w:t> </w:t>
      </w:r>
      <w:r>
        <w:rPr>
          <w:color w:val="231F20"/>
          <w:sz w:val="15"/>
        </w:rPr>
        <w:t>General</w:t>
      </w:r>
      <w:r>
        <w:rPr>
          <w:color w:val="231F20"/>
          <w:spacing w:val="-12"/>
          <w:sz w:val="15"/>
        </w:rPr>
        <w:t> </w:t>
      </w:r>
      <w:r>
        <w:rPr>
          <w:color w:val="231F20"/>
          <w:sz w:val="15"/>
        </w:rPr>
        <w:t>Assembly,</w:t>
      </w:r>
      <w:r>
        <w:rPr>
          <w:color w:val="231F20"/>
          <w:spacing w:val="-11"/>
          <w:sz w:val="15"/>
        </w:rPr>
        <w:t> </w:t>
      </w:r>
      <w:r>
        <w:rPr>
          <w:color w:val="231F20"/>
          <w:sz w:val="15"/>
        </w:rPr>
        <w:t>Report</w:t>
      </w:r>
      <w:r>
        <w:rPr>
          <w:color w:val="231F20"/>
          <w:spacing w:val="-12"/>
          <w:sz w:val="15"/>
        </w:rPr>
        <w:t> </w:t>
      </w:r>
      <w:r>
        <w:rPr>
          <w:color w:val="231F20"/>
          <w:sz w:val="15"/>
        </w:rPr>
        <w:t>of</w:t>
      </w:r>
      <w:r>
        <w:rPr>
          <w:color w:val="231F20"/>
          <w:spacing w:val="-12"/>
          <w:sz w:val="15"/>
        </w:rPr>
        <w:t> </w:t>
      </w:r>
      <w:r>
        <w:rPr>
          <w:color w:val="231F20"/>
          <w:sz w:val="15"/>
        </w:rPr>
        <w:t>the</w:t>
      </w:r>
      <w:r>
        <w:rPr>
          <w:color w:val="231F20"/>
          <w:spacing w:val="-11"/>
          <w:sz w:val="15"/>
        </w:rPr>
        <w:t> </w:t>
      </w:r>
      <w:r>
        <w:rPr>
          <w:color w:val="231F20"/>
          <w:sz w:val="15"/>
        </w:rPr>
        <w:t>Secretary-General</w:t>
      </w:r>
      <w:r>
        <w:rPr>
          <w:color w:val="231F20"/>
          <w:spacing w:val="-12"/>
          <w:sz w:val="15"/>
        </w:rPr>
        <w:t> </w:t>
      </w:r>
      <w:r>
        <w:rPr>
          <w:color w:val="231F20"/>
          <w:sz w:val="15"/>
        </w:rPr>
        <w:t>on</w:t>
      </w:r>
      <w:r>
        <w:rPr>
          <w:color w:val="231F20"/>
          <w:spacing w:val="-12"/>
          <w:sz w:val="15"/>
        </w:rPr>
        <w:t> </w:t>
      </w:r>
      <w:r>
        <w:rPr>
          <w:color w:val="231F20"/>
          <w:sz w:val="15"/>
        </w:rPr>
        <w:t>the</w:t>
      </w:r>
      <w:r>
        <w:rPr>
          <w:color w:val="231F20"/>
          <w:spacing w:val="-11"/>
          <w:sz w:val="15"/>
        </w:rPr>
        <w:t> </w:t>
      </w:r>
      <w:r>
        <w:rPr>
          <w:color w:val="231F20"/>
          <w:sz w:val="15"/>
        </w:rPr>
        <w:t>implementation</w:t>
      </w:r>
      <w:r>
        <w:rPr>
          <w:color w:val="231F20"/>
          <w:spacing w:val="-12"/>
          <w:sz w:val="15"/>
        </w:rPr>
        <w:t> </w:t>
      </w:r>
      <w:r>
        <w:rPr>
          <w:color w:val="231F20"/>
          <w:sz w:val="15"/>
        </w:rPr>
        <w:t>of</w:t>
      </w:r>
      <w:r>
        <w:rPr>
          <w:color w:val="231F20"/>
          <w:spacing w:val="-12"/>
          <w:sz w:val="15"/>
        </w:rPr>
        <w:t> </w:t>
      </w:r>
      <w:r>
        <w:rPr>
          <w:color w:val="231F20"/>
          <w:sz w:val="15"/>
        </w:rPr>
        <w:t>the</w:t>
      </w:r>
      <w:r>
        <w:rPr>
          <w:color w:val="231F20"/>
          <w:spacing w:val="-11"/>
          <w:sz w:val="15"/>
        </w:rPr>
        <w:t> </w:t>
      </w:r>
      <w:r>
        <w:rPr>
          <w:color w:val="231F20"/>
          <w:sz w:val="15"/>
        </w:rPr>
        <w:t>Five- Point</w:t>
      </w:r>
      <w:r>
        <w:rPr>
          <w:color w:val="231F20"/>
          <w:spacing w:val="-4"/>
          <w:sz w:val="15"/>
        </w:rPr>
        <w:t> </w:t>
      </w:r>
      <w:r>
        <w:rPr>
          <w:color w:val="231F20"/>
          <w:sz w:val="15"/>
        </w:rPr>
        <w:t>Action</w:t>
      </w:r>
      <w:r>
        <w:rPr>
          <w:color w:val="231F20"/>
          <w:spacing w:val="-3"/>
          <w:sz w:val="15"/>
        </w:rPr>
        <w:t> </w:t>
      </w:r>
      <w:r>
        <w:rPr>
          <w:color w:val="231F20"/>
          <w:sz w:val="15"/>
        </w:rPr>
        <w:t>Plan</w:t>
      </w:r>
      <w:r>
        <w:rPr>
          <w:color w:val="231F20"/>
          <w:spacing w:val="-3"/>
          <w:sz w:val="15"/>
        </w:rPr>
        <w:t> </w:t>
      </w:r>
      <w:r>
        <w:rPr>
          <w:color w:val="231F20"/>
          <w:sz w:val="15"/>
        </w:rPr>
        <w:t>and</w:t>
      </w:r>
      <w:r>
        <w:rPr>
          <w:color w:val="231F20"/>
          <w:spacing w:val="-3"/>
          <w:sz w:val="15"/>
        </w:rPr>
        <w:t> </w:t>
      </w:r>
      <w:r>
        <w:rPr>
          <w:color w:val="231F20"/>
          <w:sz w:val="15"/>
        </w:rPr>
        <w:t>the</w:t>
      </w:r>
      <w:r>
        <w:rPr>
          <w:color w:val="231F20"/>
          <w:spacing w:val="-3"/>
          <w:sz w:val="15"/>
        </w:rPr>
        <w:t> </w:t>
      </w:r>
      <w:r>
        <w:rPr>
          <w:color w:val="231F20"/>
          <w:sz w:val="15"/>
        </w:rPr>
        <w:t>activities</w:t>
      </w:r>
      <w:r>
        <w:rPr>
          <w:color w:val="231F20"/>
          <w:spacing w:val="-3"/>
          <w:sz w:val="15"/>
        </w:rPr>
        <w:t> </w:t>
      </w:r>
      <w:r>
        <w:rPr>
          <w:color w:val="231F20"/>
          <w:sz w:val="15"/>
        </w:rPr>
        <w:t>of</w:t>
      </w:r>
      <w:r>
        <w:rPr>
          <w:color w:val="231F20"/>
          <w:spacing w:val="-3"/>
          <w:sz w:val="15"/>
        </w:rPr>
        <w:t> </w:t>
      </w:r>
      <w:r>
        <w:rPr>
          <w:color w:val="231F20"/>
          <w:sz w:val="15"/>
        </w:rPr>
        <w:t>the</w:t>
      </w:r>
      <w:r>
        <w:rPr>
          <w:color w:val="231F20"/>
          <w:spacing w:val="-3"/>
          <w:sz w:val="15"/>
        </w:rPr>
        <w:t> </w:t>
      </w:r>
      <w:r>
        <w:rPr>
          <w:color w:val="231F20"/>
          <w:sz w:val="15"/>
        </w:rPr>
        <w:t>Special</w:t>
      </w:r>
      <w:r>
        <w:rPr>
          <w:color w:val="231F20"/>
          <w:spacing w:val="-3"/>
          <w:sz w:val="15"/>
        </w:rPr>
        <w:t> </w:t>
      </w:r>
      <w:r>
        <w:rPr>
          <w:color w:val="231F20"/>
          <w:sz w:val="15"/>
        </w:rPr>
        <w:t>Adviser</w:t>
      </w:r>
      <w:r>
        <w:rPr>
          <w:color w:val="231F20"/>
          <w:spacing w:val="-3"/>
          <w:sz w:val="15"/>
        </w:rPr>
        <w:t> </w:t>
      </w:r>
      <w:r>
        <w:rPr>
          <w:color w:val="231F20"/>
          <w:sz w:val="15"/>
        </w:rPr>
        <w:t>on</w:t>
      </w:r>
      <w:r>
        <w:rPr>
          <w:color w:val="231F20"/>
          <w:spacing w:val="-3"/>
          <w:sz w:val="15"/>
        </w:rPr>
        <w:t> </w:t>
      </w:r>
      <w:r>
        <w:rPr>
          <w:color w:val="231F20"/>
          <w:sz w:val="15"/>
        </w:rPr>
        <w:t>the</w:t>
      </w:r>
      <w:r>
        <w:rPr>
          <w:color w:val="231F20"/>
          <w:spacing w:val="-3"/>
          <w:sz w:val="15"/>
        </w:rPr>
        <w:t> </w:t>
      </w:r>
      <w:r>
        <w:rPr>
          <w:color w:val="231F20"/>
          <w:sz w:val="15"/>
        </w:rPr>
        <w:t>Prevention</w:t>
      </w:r>
      <w:r>
        <w:rPr>
          <w:color w:val="231F20"/>
          <w:spacing w:val="-3"/>
          <w:sz w:val="15"/>
        </w:rPr>
        <w:t> </w:t>
      </w:r>
      <w:r>
        <w:rPr>
          <w:color w:val="231F20"/>
          <w:sz w:val="15"/>
        </w:rPr>
        <w:t>of</w:t>
      </w:r>
      <w:r>
        <w:rPr>
          <w:color w:val="231F20"/>
          <w:spacing w:val="-3"/>
          <w:sz w:val="15"/>
        </w:rPr>
        <w:t> </w:t>
      </w:r>
      <w:r>
        <w:rPr>
          <w:color w:val="231F20"/>
          <w:sz w:val="15"/>
        </w:rPr>
        <w:t>Genocide,</w:t>
      </w:r>
      <w:r>
        <w:rPr>
          <w:color w:val="231F20"/>
          <w:spacing w:val="-3"/>
          <w:sz w:val="15"/>
        </w:rPr>
        <w:t> </w:t>
      </w:r>
      <w:r>
        <w:rPr>
          <w:color w:val="231F20"/>
          <w:sz w:val="15"/>
        </w:rPr>
        <w:t>A/HRC/ 7/37, 19 Mar. 2008, paras 24–25. See also United Nations, ‘A more secure world: our shared responsibility’,</w:t>
      </w:r>
      <w:r>
        <w:rPr>
          <w:color w:val="231F20"/>
          <w:spacing w:val="-6"/>
          <w:sz w:val="15"/>
        </w:rPr>
        <w:t> </w:t>
      </w:r>
      <w:r>
        <w:rPr>
          <w:color w:val="231F20"/>
          <w:sz w:val="15"/>
        </w:rPr>
        <w:t>Report</w:t>
      </w:r>
      <w:r>
        <w:rPr>
          <w:color w:val="231F20"/>
          <w:spacing w:val="-6"/>
          <w:sz w:val="15"/>
        </w:rPr>
        <w:t> </w:t>
      </w:r>
      <w:r>
        <w:rPr>
          <w:color w:val="231F20"/>
          <w:sz w:val="15"/>
        </w:rPr>
        <w:t>of</w:t>
      </w:r>
      <w:r>
        <w:rPr>
          <w:color w:val="231F20"/>
          <w:spacing w:val="-6"/>
          <w:sz w:val="15"/>
        </w:rPr>
        <w:t> </w:t>
      </w:r>
      <w:r>
        <w:rPr>
          <w:color w:val="231F20"/>
          <w:sz w:val="15"/>
        </w:rPr>
        <w:t>the</w:t>
      </w:r>
      <w:r>
        <w:rPr>
          <w:color w:val="231F20"/>
          <w:spacing w:val="-5"/>
          <w:sz w:val="15"/>
        </w:rPr>
        <w:t> </w:t>
      </w:r>
      <w:r>
        <w:rPr>
          <w:color w:val="231F20"/>
          <w:sz w:val="15"/>
        </w:rPr>
        <w:t>High-level</w:t>
      </w:r>
      <w:r>
        <w:rPr>
          <w:color w:val="231F20"/>
          <w:spacing w:val="-6"/>
          <w:sz w:val="15"/>
        </w:rPr>
        <w:t> </w:t>
      </w:r>
      <w:r>
        <w:rPr>
          <w:color w:val="231F20"/>
          <w:sz w:val="15"/>
        </w:rPr>
        <w:t>Panel</w:t>
      </w:r>
      <w:r>
        <w:rPr>
          <w:color w:val="231F20"/>
          <w:spacing w:val="-6"/>
          <w:sz w:val="15"/>
        </w:rPr>
        <w:t> </w:t>
      </w:r>
      <w:r>
        <w:rPr>
          <w:color w:val="231F20"/>
          <w:sz w:val="15"/>
        </w:rPr>
        <w:t>on</w:t>
      </w:r>
      <w:r>
        <w:rPr>
          <w:color w:val="231F20"/>
          <w:spacing w:val="-5"/>
          <w:sz w:val="15"/>
        </w:rPr>
        <w:t> </w:t>
      </w:r>
      <w:r>
        <w:rPr>
          <w:color w:val="231F20"/>
          <w:sz w:val="15"/>
        </w:rPr>
        <w:t>Threats,</w:t>
      </w:r>
      <w:r>
        <w:rPr>
          <w:color w:val="231F20"/>
          <w:spacing w:val="-6"/>
          <w:sz w:val="15"/>
        </w:rPr>
        <w:t> </w:t>
      </w:r>
      <w:r>
        <w:rPr>
          <w:color w:val="231F20"/>
          <w:sz w:val="15"/>
        </w:rPr>
        <w:t>Challenges</w:t>
      </w:r>
      <w:r>
        <w:rPr>
          <w:color w:val="231F20"/>
          <w:spacing w:val="-6"/>
          <w:sz w:val="15"/>
        </w:rPr>
        <w:t> </w:t>
      </w:r>
      <w:r>
        <w:rPr>
          <w:color w:val="231F20"/>
          <w:sz w:val="15"/>
        </w:rPr>
        <w:t>and</w:t>
      </w:r>
      <w:r>
        <w:rPr>
          <w:color w:val="231F20"/>
          <w:spacing w:val="-5"/>
          <w:sz w:val="15"/>
        </w:rPr>
        <w:t> </w:t>
      </w:r>
      <w:r>
        <w:rPr>
          <w:color w:val="231F20"/>
          <w:sz w:val="15"/>
        </w:rPr>
        <w:t>Change,</w:t>
      </w:r>
      <w:r>
        <w:rPr>
          <w:color w:val="231F20"/>
          <w:spacing w:val="-6"/>
          <w:sz w:val="15"/>
        </w:rPr>
        <w:t> </w:t>
      </w:r>
      <w:r>
        <w:rPr>
          <w:color w:val="231F20"/>
          <w:sz w:val="15"/>
        </w:rPr>
        <w:t>UN</w:t>
      </w:r>
      <w:r>
        <w:rPr>
          <w:color w:val="231F20"/>
          <w:spacing w:val="-6"/>
          <w:sz w:val="15"/>
        </w:rPr>
        <w:t> </w:t>
      </w:r>
      <w:r>
        <w:rPr>
          <w:color w:val="231F20"/>
          <w:sz w:val="15"/>
        </w:rPr>
        <w:t>documents A/59/565, 4 Dec. 2004, and A/59/565/Corr.1, 6 Dec. 2004, </w:t>
      </w:r>
      <w:hyperlink r:id="rId38">
        <w:r>
          <w:rPr>
            <w:color w:val="231F20"/>
            <w:sz w:val="15"/>
          </w:rPr>
          <w:t>&lt;http://www.un.org/ga/59/docu</w:t>
        </w:r>
      </w:hyperlink>
      <w:r>
        <w:rPr>
          <w:color w:val="231F20"/>
          <w:sz w:val="15"/>
        </w:rPr>
        <w:t> mentation/list5.html&gt;,</w:t>
      </w:r>
      <w:r>
        <w:rPr>
          <w:color w:val="231F20"/>
          <w:spacing w:val="10"/>
          <w:sz w:val="15"/>
        </w:rPr>
        <w:t> </w:t>
      </w:r>
      <w:r>
        <w:rPr>
          <w:color w:val="231F20"/>
          <w:sz w:val="15"/>
        </w:rPr>
        <w:t>pp.</w:t>
      </w:r>
      <w:r>
        <w:rPr>
          <w:color w:val="231F20"/>
          <w:spacing w:val="10"/>
          <w:sz w:val="15"/>
        </w:rPr>
        <w:t> </w:t>
      </w:r>
      <w:r>
        <w:rPr>
          <w:color w:val="231F20"/>
          <w:sz w:val="15"/>
        </w:rPr>
        <w:t>37–38;</w:t>
      </w:r>
      <w:r>
        <w:rPr>
          <w:color w:val="231F20"/>
          <w:spacing w:val="10"/>
          <w:sz w:val="15"/>
        </w:rPr>
        <w:t> </w:t>
      </w:r>
      <w:r>
        <w:rPr>
          <w:color w:val="231F20"/>
          <w:sz w:val="15"/>
        </w:rPr>
        <w:t>‘What</w:t>
      </w:r>
      <w:r>
        <w:rPr>
          <w:color w:val="231F20"/>
          <w:spacing w:val="10"/>
          <w:sz w:val="15"/>
        </w:rPr>
        <w:t> </w:t>
      </w:r>
      <w:r>
        <w:rPr>
          <w:color w:val="231F20"/>
          <w:sz w:val="15"/>
        </w:rPr>
        <w:t>really</w:t>
      </w:r>
      <w:r>
        <w:rPr>
          <w:color w:val="231F20"/>
          <w:spacing w:val="11"/>
          <w:sz w:val="15"/>
        </w:rPr>
        <w:t> </w:t>
      </w:r>
      <w:r>
        <w:rPr>
          <w:color w:val="231F20"/>
          <w:sz w:val="15"/>
        </w:rPr>
        <w:t>works</w:t>
      </w:r>
      <w:r>
        <w:rPr>
          <w:color w:val="231F20"/>
          <w:spacing w:val="10"/>
          <w:sz w:val="15"/>
        </w:rPr>
        <w:t> </w:t>
      </w:r>
      <w:r>
        <w:rPr>
          <w:color w:val="231F20"/>
          <w:sz w:val="15"/>
        </w:rPr>
        <w:t>in</w:t>
      </w:r>
      <w:r>
        <w:rPr>
          <w:color w:val="231F20"/>
          <w:spacing w:val="10"/>
          <w:sz w:val="15"/>
        </w:rPr>
        <w:t> </w:t>
      </w:r>
      <w:r>
        <w:rPr>
          <w:color w:val="231F20"/>
          <w:sz w:val="15"/>
        </w:rPr>
        <w:t>preventing</w:t>
      </w:r>
      <w:r>
        <w:rPr>
          <w:color w:val="231F20"/>
          <w:spacing w:val="10"/>
          <w:sz w:val="15"/>
        </w:rPr>
        <w:t> </w:t>
      </w:r>
      <w:r>
        <w:rPr>
          <w:color w:val="231F20"/>
          <w:sz w:val="15"/>
        </w:rPr>
        <w:t>and</w:t>
      </w:r>
      <w:r>
        <w:rPr>
          <w:color w:val="231F20"/>
          <w:spacing w:val="10"/>
          <w:sz w:val="15"/>
        </w:rPr>
        <w:t> </w:t>
      </w:r>
      <w:r>
        <w:rPr>
          <w:color w:val="231F20"/>
          <w:sz w:val="15"/>
        </w:rPr>
        <w:t>rebuilding</w:t>
      </w:r>
      <w:r>
        <w:rPr>
          <w:color w:val="231F20"/>
          <w:spacing w:val="11"/>
          <w:sz w:val="15"/>
        </w:rPr>
        <w:t> </w:t>
      </w:r>
      <w:r>
        <w:rPr>
          <w:color w:val="231F20"/>
          <w:sz w:val="15"/>
        </w:rPr>
        <w:t>failed</w:t>
      </w:r>
      <w:r>
        <w:rPr>
          <w:color w:val="231F20"/>
          <w:spacing w:val="10"/>
          <w:sz w:val="15"/>
        </w:rPr>
        <w:t> </w:t>
      </w:r>
      <w:r>
        <w:rPr>
          <w:color w:val="231F20"/>
          <w:sz w:val="15"/>
        </w:rPr>
        <w:t>states’,</w:t>
      </w:r>
    </w:p>
    <w:p>
      <w:pPr>
        <w:spacing w:after="0" w:line="213" w:lineRule="auto"/>
        <w:jc w:val="both"/>
        <w:rPr>
          <w:sz w:val="15"/>
        </w:rPr>
        <w:sectPr>
          <w:pgSz w:w="8850" w:h="13270"/>
          <w:pgMar w:header="752" w:footer="0" w:top="1080" w:bottom="280" w:left="1080" w:right="1060"/>
        </w:sectPr>
      </w:pPr>
    </w:p>
    <w:p>
      <w:pPr>
        <w:pStyle w:val="BodyText"/>
        <w:spacing w:line="278" w:lineRule="auto" w:before="141"/>
        <w:ind w:right="119"/>
        <w:rPr>
          <w:rFonts w:ascii="Adobe Jenson Pro Lt Capt" w:hAnsi="Adobe Jenson Pro Lt Capt"/>
          <w:b w:val="0"/>
          <w:sz w:val="12"/>
        </w:rPr>
      </w:pPr>
      <w:r>
        <w:rPr>
          <w:color w:val="231F20"/>
        </w:rPr>
        <w:t>Kenya in 2008 has been cited as an effective application of R2P, preventive steps were not taken. Systematic UN monitoring is  needed  of  countries  with upcoming elections or where other indicators of violence are apparent so that early alerts can be provided. Given the weakness of the inter-  national community in conﬂict prevention, some have proposed that  a  group of states with ample resources and professional expertise  take  the lead in mobilizing a preventive international response.</w:t>
      </w:r>
      <w:r>
        <w:rPr>
          <w:rFonts w:ascii="Adobe Jenson Pro Lt Capt" w:hAnsi="Adobe Jenson Pro Lt Capt"/>
          <w:b w:val="0"/>
          <w:color w:val="231F20"/>
          <w:position w:val="6"/>
          <w:sz w:val="12"/>
        </w:rPr>
        <w:t>93 </w:t>
      </w:r>
      <w:r>
        <w:rPr>
          <w:color w:val="231F20"/>
        </w:rPr>
        <w:t>Preventive steps should also involve promoting wider support for the  International  Crim- inal Court since holding the perpetrators of war crimes and crimes against humanity accountable can at times act as a form of</w:t>
      </w:r>
      <w:r>
        <w:rPr>
          <w:color w:val="231F20"/>
          <w:spacing w:val="19"/>
        </w:rPr>
        <w:t> </w:t>
      </w:r>
      <w:r>
        <w:rPr>
          <w:color w:val="231F20"/>
        </w:rPr>
        <w:t>prevention.</w:t>
      </w:r>
      <w:r>
        <w:rPr>
          <w:rFonts w:ascii="Adobe Jenson Pro Lt Capt" w:hAnsi="Adobe Jenson Pro Lt Capt"/>
          <w:b w:val="0"/>
          <w:color w:val="231F20"/>
          <w:position w:val="6"/>
          <w:sz w:val="12"/>
        </w:rPr>
        <w:t>94</w:t>
      </w:r>
    </w:p>
    <w:p>
      <w:pPr>
        <w:pStyle w:val="BodyText"/>
        <w:spacing w:line="278" w:lineRule="auto"/>
        <w:ind w:right="118" w:firstLine="180"/>
      </w:pPr>
      <w:r>
        <w:rPr>
          <w:color w:val="231F20"/>
        </w:rPr>
        <w:t>Eighth, for the concept of the responsibility to protect to be better under- stood, especially by the permanent members of the Security Council, and     by broad sectors of civil society that can mobilize support for its usage, clariﬁcation of its meaning and how it should be applied  is  essential.  It must be one of the goals of the UN Secretary-General, the Special Adviser   on R2P and the Special Adviser on the Prevention of Genocide to educate governments and the public on the urgent need for international action in cases where mass atrocities are about to be, or are being,  perpetrated  against defenceless civilians. Special dialogues should be set up with key developing states and inﬂuential states like China, including their think  tanks and NGOs, to promote discussion of R2P and its</w:t>
      </w:r>
      <w:r>
        <w:rPr>
          <w:color w:val="231F20"/>
          <w:spacing w:val="12"/>
        </w:rPr>
        <w:t> </w:t>
      </w:r>
      <w:r>
        <w:rPr>
          <w:color w:val="231F20"/>
        </w:rPr>
        <w:t>application.</w:t>
      </w:r>
    </w:p>
    <w:p>
      <w:pPr>
        <w:pStyle w:val="BodyText"/>
        <w:spacing w:line="278" w:lineRule="auto"/>
        <w:ind w:right="117" w:firstLine="180"/>
      </w:pPr>
      <w:r>
        <w:rPr>
          <w:color w:val="231F20"/>
        </w:rPr>
        <w:t>Ninth, the Office of the UN High Commissioner for Human Rights (OHCHR) should become more engaged in the protection of IDPs in emer- gency situations. Working with the UNHCR, the OHCHR should contrib-   ute to the design of strategies for practical protection measures and to reconciling human rights strategies with the security of humanitarian staff  on the ground. In Sudan, the International Criminal Court arrest warrant   for President Omar al-Bashir led to the expulsion of humanitarian workers from Darfur which in turn has put more than one million IDPs at risk.</w:t>
      </w:r>
      <w:r>
        <w:rPr>
          <w:rFonts w:ascii="Adobe Jenson Pro Lt Capt"/>
          <w:b w:val="0"/>
          <w:color w:val="231F20"/>
          <w:position w:val="6"/>
          <w:sz w:val="12"/>
        </w:rPr>
        <w:t>95 </w:t>
      </w:r>
      <w:r>
        <w:rPr>
          <w:color w:val="231F20"/>
        </w:rPr>
        <w:t>At the same time, the presence of relief staff cannot be allowed to become an excuse for international inaction in the face of mass</w:t>
      </w:r>
      <w:r>
        <w:rPr>
          <w:color w:val="231F20"/>
          <w:spacing w:val="20"/>
        </w:rPr>
        <w:t> </w:t>
      </w:r>
      <w:r>
        <w:rPr>
          <w:color w:val="231F20"/>
        </w:rPr>
        <w:t>atrocities.</w:t>
      </w:r>
    </w:p>
    <w:p>
      <w:pPr>
        <w:pStyle w:val="BodyText"/>
        <w:spacing w:line="278" w:lineRule="auto"/>
        <w:ind w:right="118" w:firstLine="180"/>
      </w:pPr>
      <w:r>
        <w:rPr>
          <w:color w:val="231F20"/>
        </w:rPr>
        <w:t>Tenth, a global consensus will be needed to bring into being an inter- national protection capacity that can rapidly deploy well-trained  military and</w:t>
      </w:r>
      <w:r>
        <w:rPr>
          <w:color w:val="231F20"/>
          <w:spacing w:val="34"/>
        </w:rPr>
        <w:t> </w:t>
      </w:r>
      <w:r>
        <w:rPr>
          <w:color w:val="231F20"/>
        </w:rPr>
        <w:t>police</w:t>
      </w:r>
      <w:r>
        <w:rPr>
          <w:color w:val="231F20"/>
          <w:spacing w:val="34"/>
        </w:rPr>
        <w:t> </w:t>
      </w:r>
      <w:r>
        <w:rPr>
          <w:color w:val="231F20"/>
        </w:rPr>
        <w:t>forces</w:t>
      </w:r>
      <w:r>
        <w:rPr>
          <w:color w:val="231F20"/>
          <w:spacing w:val="35"/>
        </w:rPr>
        <w:t> </w:t>
      </w:r>
      <w:r>
        <w:rPr>
          <w:color w:val="231F20"/>
        </w:rPr>
        <w:t>with</w:t>
      </w:r>
      <w:r>
        <w:rPr>
          <w:color w:val="231F20"/>
          <w:spacing w:val="34"/>
        </w:rPr>
        <w:t> </w:t>
      </w:r>
      <w:r>
        <w:rPr>
          <w:color w:val="231F20"/>
        </w:rPr>
        <w:t>clear</w:t>
      </w:r>
      <w:r>
        <w:rPr>
          <w:color w:val="231F20"/>
          <w:spacing w:val="34"/>
        </w:rPr>
        <w:t> </w:t>
      </w:r>
      <w:r>
        <w:rPr>
          <w:color w:val="231F20"/>
        </w:rPr>
        <w:t>and</w:t>
      </w:r>
      <w:r>
        <w:rPr>
          <w:color w:val="231F20"/>
          <w:spacing w:val="35"/>
        </w:rPr>
        <w:t> </w:t>
      </w:r>
      <w:r>
        <w:rPr>
          <w:color w:val="231F20"/>
        </w:rPr>
        <w:t>strong</w:t>
      </w:r>
      <w:r>
        <w:rPr>
          <w:color w:val="231F20"/>
          <w:spacing w:val="34"/>
        </w:rPr>
        <w:t> </w:t>
      </w:r>
      <w:r>
        <w:rPr>
          <w:color w:val="231F20"/>
        </w:rPr>
        <w:t>mandates,</w:t>
      </w:r>
      <w:r>
        <w:rPr>
          <w:color w:val="231F20"/>
          <w:spacing w:val="35"/>
        </w:rPr>
        <w:t> </w:t>
      </w:r>
      <w:r>
        <w:rPr>
          <w:color w:val="231F20"/>
        </w:rPr>
        <w:t>adequate</w:t>
      </w:r>
      <w:r>
        <w:rPr>
          <w:color w:val="231F20"/>
          <w:spacing w:val="34"/>
        </w:rPr>
        <w:t> </w:t>
      </w:r>
      <w:r>
        <w:rPr>
          <w:color w:val="231F20"/>
        </w:rPr>
        <w:t>numbers</w:t>
      </w:r>
      <w:r>
        <w:rPr>
          <w:color w:val="231F20"/>
          <w:spacing w:val="34"/>
        </w:rPr>
        <w:t> </w:t>
      </w:r>
      <w:r>
        <w:rPr>
          <w:color w:val="231F20"/>
        </w:rPr>
        <w:t>and</w:t>
      </w:r>
    </w:p>
    <w:p>
      <w:pPr>
        <w:pStyle w:val="BodyText"/>
        <w:spacing w:before="5"/>
        <w:ind w:left="0"/>
        <w:jc w:val="left"/>
        <w:rPr>
          <w:sz w:val="34"/>
        </w:rPr>
      </w:pPr>
    </w:p>
    <w:p>
      <w:pPr>
        <w:spacing w:line="192" w:lineRule="exact" w:before="0"/>
        <w:ind w:left="100" w:right="0" w:firstLine="0"/>
        <w:jc w:val="both"/>
        <w:rPr>
          <w:rFonts w:ascii="Palatino Linotype"/>
          <w:sz w:val="15"/>
        </w:rPr>
      </w:pPr>
      <w:r>
        <w:rPr>
          <w:rFonts w:ascii="Palatino Linotype"/>
          <w:color w:val="231F20"/>
          <w:sz w:val="15"/>
        </w:rPr>
        <w:t>Woodrow</w:t>
      </w:r>
      <w:r>
        <w:rPr>
          <w:rFonts w:ascii="Palatino Linotype"/>
          <w:color w:val="231F20"/>
          <w:spacing w:val="19"/>
          <w:sz w:val="15"/>
        </w:rPr>
        <w:t> </w:t>
      </w:r>
      <w:r>
        <w:rPr>
          <w:rFonts w:ascii="Palatino Linotype"/>
          <w:color w:val="231F20"/>
          <w:sz w:val="15"/>
        </w:rPr>
        <w:t>Wilson</w:t>
      </w:r>
      <w:r>
        <w:rPr>
          <w:rFonts w:ascii="Palatino Linotype"/>
          <w:color w:val="231F20"/>
          <w:spacing w:val="20"/>
          <w:sz w:val="15"/>
        </w:rPr>
        <w:t> </w:t>
      </w:r>
      <w:r>
        <w:rPr>
          <w:rFonts w:ascii="Palatino Linotype"/>
          <w:color w:val="231F20"/>
          <w:sz w:val="15"/>
        </w:rPr>
        <w:t>International</w:t>
      </w:r>
      <w:r>
        <w:rPr>
          <w:rFonts w:ascii="Palatino Linotype"/>
          <w:color w:val="231F20"/>
          <w:spacing w:val="19"/>
          <w:sz w:val="15"/>
        </w:rPr>
        <w:t> </w:t>
      </w:r>
      <w:r>
        <w:rPr>
          <w:rFonts w:ascii="Palatino Linotype"/>
          <w:color w:val="231F20"/>
          <w:sz w:val="15"/>
        </w:rPr>
        <w:t>Center</w:t>
      </w:r>
      <w:r>
        <w:rPr>
          <w:rFonts w:ascii="Palatino Linotype"/>
          <w:color w:val="231F20"/>
          <w:spacing w:val="20"/>
          <w:sz w:val="15"/>
        </w:rPr>
        <w:t> </w:t>
      </w:r>
      <w:r>
        <w:rPr>
          <w:rFonts w:ascii="Palatino Linotype"/>
          <w:color w:val="231F20"/>
          <w:sz w:val="15"/>
        </w:rPr>
        <w:t>for</w:t>
      </w:r>
      <w:r>
        <w:rPr>
          <w:rFonts w:ascii="Palatino Linotype"/>
          <w:color w:val="231F20"/>
          <w:spacing w:val="20"/>
          <w:sz w:val="15"/>
        </w:rPr>
        <w:t> </w:t>
      </w:r>
      <w:r>
        <w:rPr>
          <w:rFonts w:ascii="Palatino Linotype"/>
          <w:color w:val="231F20"/>
          <w:sz w:val="15"/>
        </w:rPr>
        <w:t>Scholars</w:t>
      </w:r>
      <w:r>
        <w:rPr>
          <w:rFonts w:ascii="Palatino Linotype"/>
          <w:color w:val="231F20"/>
          <w:spacing w:val="19"/>
          <w:sz w:val="15"/>
        </w:rPr>
        <w:t> </w:t>
      </w:r>
      <w:r>
        <w:rPr>
          <w:rFonts w:ascii="Palatino Linotype"/>
          <w:color w:val="231F20"/>
          <w:sz w:val="15"/>
        </w:rPr>
        <w:t>Occasional</w:t>
      </w:r>
      <w:r>
        <w:rPr>
          <w:rFonts w:ascii="Palatino Linotype"/>
          <w:color w:val="231F20"/>
          <w:spacing w:val="20"/>
          <w:sz w:val="15"/>
        </w:rPr>
        <w:t> </w:t>
      </w:r>
      <w:r>
        <w:rPr>
          <w:rFonts w:ascii="Palatino Linotype"/>
          <w:color w:val="231F20"/>
          <w:sz w:val="15"/>
        </w:rPr>
        <w:t>Paper</w:t>
      </w:r>
      <w:r>
        <w:rPr>
          <w:rFonts w:ascii="Palatino Linotype"/>
          <w:color w:val="231F20"/>
          <w:spacing w:val="20"/>
          <w:sz w:val="15"/>
        </w:rPr>
        <w:t> </w:t>
      </w:r>
      <w:r>
        <w:rPr>
          <w:rFonts w:ascii="Palatino Linotype"/>
          <w:color w:val="231F20"/>
          <w:sz w:val="15"/>
        </w:rPr>
        <w:t>series</w:t>
      </w:r>
      <w:r>
        <w:rPr>
          <w:rFonts w:ascii="Palatino Linotype"/>
          <w:color w:val="231F20"/>
          <w:spacing w:val="19"/>
          <w:sz w:val="15"/>
        </w:rPr>
        <w:t> </w:t>
      </w:r>
      <w:r>
        <w:rPr>
          <w:rFonts w:ascii="Palatino Linotype"/>
          <w:color w:val="231F20"/>
          <w:sz w:val="15"/>
        </w:rPr>
        <w:t>issue</w:t>
      </w:r>
      <w:r>
        <w:rPr>
          <w:rFonts w:ascii="Palatino Linotype"/>
          <w:color w:val="231F20"/>
          <w:spacing w:val="20"/>
          <w:sz w:val="15"/>
        </w:rPr>
        <w:t> </w:t>
      </w:r>
      <w:r>
        <w:rPr>
          <w:rFonts w:ascii="Palatino Linotype"/>
          <w:color w:val="231F20"/>
          <w:sz w:val="15"/>
        </w:rPr>
        <w:t>2,</w:t>
      </w:r>
      <w:r>
        <w:rPr>
          <w:rFonts w:ascii="Palatino Linotype"/>
          <w:color w:val="231F20"/>
          <w:spacing w:val="20"/>
          <w:sz w:val="15"/>
        </w:rPr>
        <w:t> </w:t>
      </w:r>
      <w:r>
        <w:rPr>
          <w:rFonts w:ascii="Palatino Linotype"/>
          <w:color w:val="231F20"/>
          <w:sz w:val="15"/>
        </w:rPr>
        <w:t>Dec.</w:t>
      </w:r>
      <w:r>
        <w:rPr>
          <w:rFonts w:ascii="Palatino Linotype"/>
          <w:color w:val="231F20"/>
          <w:spacing w:val="19"/>
          <w:sz w:val="15"/>
        </w:rPr>
        <w:t> </w:t>
      </w:r>
      <w:r>
        <w:rPr>
          <w:rFonts w:ascii="Palatino Linotype"/>
          <w:color w:val="231F20"/>
          <w:sz w:val="15"/>
        </w:rPr>
        <w:t>2006,</w:t>
      </w:r>
    </w:p>
    <w:p>
      <w:pPr>
        <w:spacing w:line="213" w:lineRule="auto" w:before="8"/>
        <w:ind w:left="100" w:right="121" w:firstLine="0"/>
        <w:jc w:val="both"/>
        <w:rPr>
          <w:rFonts w:ascii="Palatino Linotype" w:hAnsi="Palatino Linotype"/>
          <w:sz w:val="15"/>
        </w:rPr>
      </w:pPr>
      <w:hyperlink r:id="rId39">
        <w:r>
          <w:rPr>
            <w:rFonts w:ascii="Palatino Linotype" w:hAnsi="Palatino Linotype"/>
            <w:color w:val="231F20"/>
            <w:sz w:val="15"/>
          </w:rPr>
          <w:t>&lt;http://www.wilsoncenter.org/topics/pubs/OCpaper.pdf&gt;,</w:t>
        </w:r>
      </w:hyperlink>
      <w:r>
        <w:rPr>
          <w:rFonts w:ascii="Palatino Linotype" w:hAnsi="Palatino Linotype"/>
          <w:color w:val="231F20"/>
          <w:sz w:val="15"/>
        </w:rPr>
        <w:t> pp. 6–9; Evans (note 46), pp. 79–104; and Hamburg, D., </w:t>
      </w:r>
      <w:r>
        <w:rPr>
          <w:rFonts w:ascii="Palatino Linotype" w:hAnsi="Palatino Linotype"/>
          <w:i/>
          <w:color w:val="231F20"/>
          <w:sz w:val="15"/>
        </w:rPr>
        <w:t>Preventing Genocide: Practical Steps Toward Early Detection and Effective Action </w:t>
      </w:r>
      <w:r>
        <w:rPr>
          <w:rFonts w:ascii="Palatino Linotype" w:hAnsi="Palatino Linotype"/>
          <w:color w:val="231F20"/>
          <w:sz w:val="15"/>
        </w:rPr>
        <w:t>(Paradigm: Boulder, CO, 2008), pp. 98–262.</w:t>
      </w:r>
    </w:p>
    <w:p>
      <w:pPr>
        <w:pStyle w:val="ListParagraph"/>
        <w:numPr>
          <w:ilvl w:val="0"/>
          <w:numId w:val="5"/>
        </w:numPr>
        <w:tabs>
          <w:tab w:pos="440" w:val="left" w:leader="none"/>
        </w:tabs>
        <w:spacing w:line="172" w:lineRule="exact" w:before="0" w:after="0"/>
        <w:ind w:left="439" w:right="0" w:hanging="157"/>
        <w:jc w:val="both"/>
        <w:rPr>
          <w:i/>
          <w:sz w:val="15"/>
        </w:rPr>
      </w:pPr>
      <w:r>
        <w:rPr>
          <w:color w:val="231F20"/>
          <w:sz w:val="15"/>
        </w:rPr>
        <w:t>Smith,</w:t>
      </w:r>
      <w:r>
        <w:rPr>
          <w:color w:val="231F20"/>
          <w:spacing w:val="3"/>
          <w:sz w:val="15"/>
        </w:rPr>
        <w:t> </w:t>
      </w:r>
      <w:r>
        <w:rPr>
          <w:color w:val="231F20"/>
          <w:sz w:val="15"/>
        </w:rPr>
        <w:t>G.</w:t>
      </w:r>
      <w:r>
        <w:rPr>
          <w:color w:val="231F20"/>
          <w:spacing w:val="3"/>
          <w:sz w:val="15"/>
        </w:rPr>
        <w:t> </w:t>
      </w:r>
      <w:r>
        <w:rPr>
          <w:color w:val="231F20"/>
          <w:sz w:val="15"/>
        </w:rPr>
        <w:t>E.,</w:t>
      </w:r>
      <w:r>
        <w:rPr>
          <w:color w:val="231F20"/>
          <w:spacing w:val="4"/>
          <w:sz w:val="15"/>
        </w:rPr>
        <w:t> </w:t>
      </w:r>
      <w:r>
        <w:rPr>
          <w:color w:val="231F20"/>
          <w:sz w:val="15"/>
        </w:rPr>
        <w:t>Sullivan,</w:t>
      </w:r>
      <w:r>
        <w:rPr>
          <w:color w:val="231F20"/>
          <w:spacing w:val="3"/>
          <w:sz w:val="15"/>
        </w:rPr>
        <w:t> </w:t>
      </w:r>
      <w:r>
        <w:rPr>
          <w:color w:val="231F20"/>
          <w:sz w:val="15"/>
        </w:rPr>
        <w:t>D.</w:t>
      </w:r>
      <w:r>
        <w:rPr>
          <w:color w:val="231F20"/>
          <w:spacing w:val="4"/>
          <w:sz w:val="15"/>
        </w:rPr>
        <w:t> </w:t>
      </w:r>
      <w:r>
        <w:rPr>
          <w:color w:val="231F20"/>
          <w:sz w:val="15"/>
        </w:rPr>
        <w:t>and</w:t>
      </w:r>
      <w:r>
        <w:rPr>
          <w:color w:val="231F20"/>
          <w:spacing w:val="3"/>
          <w:sz w:val="15"/>
        </w:rPr>
        <w:t> </w:t>
      </w:r>
      <w:r>
        <w:rPr>
          <w:color w:val="231F20"/>
          <w:sz w:val="15"/>
        </w:rPr>
        <w:t>Sweet,</w:t>
      </w:r>
      <w:r>
        <w:rPr>
          <w:color w:val="231F20"/>
          <w:spacing w:val="4"/>
          <w:sz w:val="15"/>
        </w:rPr>
        <w:t> </w:t>
      </w:r>
      <w:r>
        <w:rPr>
          <w:color w:val="231F20"/>
          <w:sz w:val="15"/>
        </w:rPr>
        <w:t>A.,</w:t>
      </w:r>
      <w:r>
        <w:rPr>
          <w:color w:val="231F20"/>
          <w:spacing w:val="5"/>
          <w:sz w:val="15"/>
        </w:rPr>
        <w:t> </w:t>
      </w:r>
      <w:r>
        <w:rPr>
          <w:i/>
          <w:color w:val="231F20"/>
          <w:sz w:val="15"/>
        </w:rPr>
        <w:t>The</w:t>
      </w:r>
      <w:r>
        <w:rPr>
          <w:i/>
          <w:color w:val="231F20"/>
          <w:spacing w:val="3"/>
          <w:sz w:val="15"/>
        </w:rPr>
        <w:t> </w:t>
      </w:r>
      <w:r>
        <w:rPr>
          <w:i/>
          <w:color w:val="231F20"/>
          <w:sz w:val="15"/>
        </w:rPr>
        <w:t>Price</w:t>
      </w:r>
      <w:r>
        <w:rPr>
          <w:i/>
          <w:color w:val="231F20"/>
          <w:spacing w:val="4"/>
          <w:sz w:val="15"/>
        </w:rPr>
        <w:t> </w:t>
      </w:r>
      <w:r>
        <w:rPr>
          <w:i/>
          <w:color w:val="231F20"/>
          <w:sz w:val="15"/>
        </w:rPr>
        <w:t>of</w:t>
      </w:r>
      <w:r>
        <w:rPr>
          <w:i/>
          <w:color w:val="231F20"/>
          <w:spacing w:val="3"/>
          <w:sz w:val="15"/>
        </w:rPr>
        <w:t> </w:t>
      </w:r>
      <w:r>
        <w:rPr>
          <w:i/>
          <w:color w:val="231F20"/>
          <w:sz w:val="15"/>
        </w:rPr>
        <w:t>Prevention:</w:t>
      </w:r>
      <w:r>
        <w:rPr>
          <w:i/>
          <w:color w:val="231F20"/>
          <w:spacing w:val="4"/>
          <w:sz w:val="15"/>
        </w:rPr>
        <w:t> </w:t>
      </w:r>
      <w:r>
        <w:rPr>
          <w:i/>
          <w:color w:val="231F20"/>
          <w:sz w:val="15"/>
        </w:rPr>
        <w:t>Getting</w:t>
      </w:r>
      <w:r>
        <w:rPr>
          <w:i/>
          <w:color w:val="231F20"/>
          <w:spacing w:val="3"/>
          <w:sz w:val="15"/>
        </w:rPr>
        <w:t> </w:t>
      </w:r>
      <w:r>
        <w:rPr>
          <w:i/>
          <w:color w:val="231F20"/>
          <w:sz w:val="15"/>
        </w:rPr>
        <w:t>Ahead</w:t>
      </w:r>
      <w:r>
        <w:rPr>
          <w:i/>
          <w:color w:val="231F20"/>
          <w:spacing w:val="4"/>
          <w:sz w:val="15"/>
        </w:rPr>
        <w:t> </w:t>
      </w:r>
      <w:r>
        <w:rPr>
          <w:i/>
          <w:color w:val="231F20"/>
          <w:sz w:val="15"/>
        </w:rPr>
        <w:t>of</w:t>
      </w:r>
      <w:r>
        <w:rPr>
          <w:i/>
          <w:color w:val="231F20"/>
          <w:spacing w:val="3"/>
          <w:sz w:val="15"/>
        </w:rPr>
        <w:t> </w:t>
      </w:r>
      <w:r>
        <w:rPr>
          <w:i/>
          <w:color w:val="231F20"/>
          <w:sz w:val="15"/>
        </w:rPr>
        <w:t>Global</w:t>
      </w:r>
      <w:r>
        <w:rPr>
          <w:i/>
          <w:color w:val="231F20"/>
          <w:spacing w:val="3"/>
          <w:sz w:val="15"/>
        </w:rPr>
        <w:t> </w:t>
      </w:r>
      <w:r>
        <w:rPr>
          <w:i/>
          <w:color w:val="231F20"/>
          <w:sz w:val="15"/>
        </w:rPr>
        <w:t>Crises</w:t>
      </w:r>
    </w:p>
    <w:p>
      <w:pPr>
        <w:spacing w:line="180" w:lineRule="exact" w:before="0"/>
        <w:ind w:left="100" w:right="0" w:firstLine="0"/>
        <w:jc w:val="both"/>
        <w:rPr>
          <w:rFonts w:ascii="Palatino Linotype"/>
          <w:sz w:val="15"/>
        </w:rPr>
      </w:pPr>
      <w:r>
        <w:rPr>
          <w:rFonts w:ascii="Palatino Linotype"/>
          <w:color w:val="231F20"/>
          <w:sz w:val="15"/>
        </w:rPr>
        <w:t>(Center for American Progress and Enough: Washington, DC, Nov. 2008).</w:t>
      </w:r>
    </w:p>
    <w:p>
      <w:pPr>
        <w:pStyle w:val="ListParagraph"/>
        <w:numPr>
          <w:ilvl w:val="0"/>
          <w:numId w:val="5"/>
        </w:numPr>
        <w:tabs>
          <w:tab w:pos="441" w:val="left" w:leader="none"/>
        </w:tabs>
        <w:spacing w:line="216" w:lineRule="auto" w:before="3" w:after="0"/>
        <w:ind w:left="100" w:right="120" w:firstLine="182"/>
        <w:jc w:val="both"/>
        <w:rPr>
          <w:sz w:val="15"/>
        </w:rPr>
      </w:pPr>
      <w:r>
        <w:rPr>
          <w:color w:val="231F20"/>
          <w:sz w:val="15"/>
        </w:rPr>
        <w:t>Concern</w:t>
      </w:r>
      <w:r>
        <w:rPr>
          <w:color w:val="231F20"/>
          <w:spacing w:val="-14"/>
          <w:sz w:val="15"/>
        </w:rPr>
        <w:t> </w:t>
      </w:r>
      <w:r>
        <w:rPr>
          <w:color w:val="231F20"/>
          <w:sz w:val="15"/>
        </w:rPr>
        <w:t>over</w:t>
      </w:r>
      <w:r>
        <w:rPr>
          <w:color w:val="231F20"/>
          <w:spacing w:val="-14"/>
          <w:sz w:val="15"/>
        </w:rPr>
        <w:t> </w:t>
      </w:r>
      <w:r>
        <w:rPr>
          <w:color w:val="231F20"/>
          <w:sz w:val="15"/>
        </w:rPr>
        <w:t>possible</w:t>
      </w:r>
      <w:r>
        <w:rPr>
          <w:color w:val="231F20"/>
          <w:spacing w:val="-14"/>
          <w:sz w:val="15"/>
        </w:rPr>
        <w:t> </w:t>
      </w:r>
      <w:r>
        <w:rPr>
          <w:color w:val="231F20"/>
          <w:sz w:val="15"/>
        </w:rPr>
        <w:t>ICC</w:t>
      </w:r>
      <w:r>
        <w:rPr>
          <w:color w:val="231F20"/>
          <w:spacing w:val="-14"/>
          <w:sz w:val="15"/>
        </w:rPr>
        <w:t> </w:t>
      </w:r>
      <w:r>
        <w:rPr>
          <w:color w:val="231F20"/>
          <w:sz w:val="15"/>
        </w:rPr>
        <w:t>prosecution</w:t>
      </w:r>
      <w:r>
        <w:rPr>
          <w:color w:val="231F20"/>
          <w:spacing w:val="-14"/>
          <w:sz w:val="15"/>
        </w:rPr>
        <w:t> </w:t>
      </w:r>
      <w:r>
        <w:rPr>
          <w:color w:val="231F20"/>
          <w:sz w:val="15"/>
        </w:rPr>
        <w:t>put</w:t>
      </w:r>
      <w:r>
        <w:rPr>
          <w:color w:val="231F20"/>
          <w:spacing w:val="-14"/>
          <w:sz w:val="15"/>
        </w:rPr>
        <w:t> </w:t>
      </w:r>
      <w:r>
        <w:rPr>
          <w:color w:val="231F20"/>
          <w:sz w:val="15"/>
        </w:rPr>
        <w:t>an</w:t>
      </w:r>
      <w:r>
        <w:rPr>
          <w:color w:val="231F20"/>
          <w:spacing w:val="-14"/>
          <w:sz w:val="15"/>
        </w:rPr>
        <w:t> </w:t>
      </w:r>
      <w:r>
        <w:rPr>
          <w:color w:val="231F20"/>
          <w:sz w:val="15"/>
        </w:rPr>
        <w:t>end</w:t>
      </w:r>
      <w:r>
        <w:rPr>
          <w:color w:val="231F20"/>
          <w:spacing w:val="-14"/>
          <w:sz w:val="15"/>
        </w:rPr>
        <w:t> </w:t>
      </w:r>
      <w:r>
        <w:rPr>
          <w:color w:val="231F20"/>
          <w:sz w:val="15"/>
        </w:rPr>
        <w:t>to</w:t>
      </w:r>
      <w:r>
        <w:rPr>
          <w:color w:val="231F20"/>
          <w:spacing w:val="-14"/>
          <w:sz w:val="15"/>
        </w:rPr>
        <w:t> </w:t>
      </w:r>
      <w:r>
        <w:rPr>
          <w:color w:val="231F20"/>
          <w:sz w:val="15"/>
        </w:rPr>
        <w:t>broadcasts</w:t>
      </w:r>
      <w:r>
        <w:rPr>
          <w:color w:val="231F20"/>
          <w:spacing w:val="-14"/>
          <w:sz w:val="15"/>
        </w:rPr>
        <w:t> </w:t>
      </w:r>
      <w:r>
        <w:rPr>
          <w:color w:val="231F20"/>
          <w:sz w:val="15"/>
        </w:rPr>
        <w:t>of</w:t>
      </w:r>
      <w:r>
        <w:rPr>
          <w:color w:val="231F20"/>
          <w:spacing w:val="-14"/>
          <w:sz w:val="15"/>
        </w:rPr>
        <w:t> </w:t>
      </w:r>
      <w:r>
        <w:rPr>
          <w:color w:val="231F20"/>
          <w:sz w:val="15"/>
        </w:rPr>
        <w:t>hate</w:t>
      </w:r>
      <w:r>
        <w:rPr>
          <w:color w:val="231F20"/>
          <w:spacing w:val="-14"/>
          <w:sz w:val="15"/>
        </w:rPr>
        <w:t> </w:t>
      </w:r>
      <w:r>
        <w:rPr>
          <w:color w:val="231F20"/>
          <w:sz w:val="15"/>
        </w:rPr>
        <w:t>speech</w:t>
      </w:r>
      <w:r>
        <w:rPr>
          <w:color w:val="231F20"/>
          <w:spacing w:val="-14"/>
          <w:sz w:val="15"/>
        </w:rPr>
        <w:t> </w:t>
      </w:r>
      <w:r>
        <w:rPr>
          <w:color w:val="231F20"/>
          <w:sz w:val="15"/>
        </w:rPr>
        <w:t>in</w:t>
      </w:r>
      <w:r>
        <w:rPr>
          <w:color w:val="231F20"/>
          <w:spacing w:val="-14"/>
          <w:sz w:val="15"/>
        </w:rPr>
        <w:t> </w:t>
      </w:r>
      <w:r>
        <w:rPr>
          <w:color w:val="231F20"/>
          <w:sz w:val="15"/>
        </w:rPr>
        <w:t>Côte</w:t>
      </w:r>
      <w:r>
        <w:rPr>
          <w:color w:val="231F20"/>
          <w:spacing w:val="-14"/>
          <w:sz w:val="15"/>
        </w:rPr>
        <w:t> </w:t>
      </w:r>
      <w:r>
        <w:rPr>
          <w:color w:val="231F20"/>
          <w:sz w:val="15"/>
        </w:rPr>
        <w:t>d’Ivoire in 2004. Evans (note 46), p.</w:t>
      </w:r>
      <w:r>
        <w:rPr>
          <w:color w:val="231F20"/>
          <w:spacing w:val="-24"/>
          <w:sz w:val="15"/>
        </w:rPr>
        <w:t> </w:t>
      </w:r>
      <w:r>
        <w:rPr>
          <w:color w:val="231F20"/>
          <w:sz w:val="15"/>
        </w:rPr>
        <w:t>85.</w:t>
      </w:r>
    </w:p>
    <w:p>
      <w:pPr>
        <w:pStyle w:val="ListParagraph"/>
        <w:numPr>
          <w:ilvl w:val="0"/>
          <w:numId w:val="5"/>
        </w:numPr>
        <w:tabs>
          <w:tab w:pos="440" w:val="left" w:leader="none"/>
        </w:tabs>
        <w:spacing w:line="216" w:lineRule="auto" w:before="0" w:after="0"/>
        <w:ind w:left="100" w:right="121" w:firstLine="182"/>
        <w:jc w:val="both"/>
        <w:rPr>
          <w:sz w:val="15"/>
        </w:rPr>
      </w:pPr>
      <w:r>
        <w:rPr>
          <w:color w:val="231F20"/>
          <w:sz w:val="15"/>
        </w:rPr>
        <w:t>Reeves, E., ‘Darfur, an ICC arrest warrant, and the humanitarian imperative’, </w:t>
      </w:r>
      <w:r>
        <w:rPr>
          <w:i/>
          <w:color w:val="231F20"/>
          <w:sz w:val="15"/>
        </w:rPr>
        <w:t>Boston Globe</w:t>
      </w:r>
      <w:r>
        <w:rPr>
          <w:color w:val="231F20"/>
          <w:sz w:val="15"/>
        </w:rPr>
        <w:t>, 21 Mar.</w:t>
      </w:r>
      <w:r>
        <w:rPr>
          <w:color w:val="231F20"/>
          <w:spacing w:val="-8"/>
          <w:sz w:val="15"/>
        </w:rPr>
        <w:t> </w:t>
      </w:r>
      <w:r>
        <w:rPr>
          <w:color w:val="231F20"/>
          <w:sz w:val="15"/>
        </w:rPr>
        <w:t>2009.</w:t>
      </w:r>
    </w:p>
    <w:p>
      <w:pPr>
        <w:spacing w:after="0" w:line="216" w:lineRule="auto"/>
        <w:jc w:val="both"/>
        <w:rPr>
          <w:sz w:val="15"/>
        </w:rPr>
        <w:sectPr>
          <w:pgSz w:w="8850" w:h="13270"/>
          <w:pgMar w:header="793" w:footer="0" w:top="1080" w:bottom="280" w:left="1080" w:right="1060"/>
        </w:sectPr>
      </w:pPr>
    </w:p>
    <w:p>
      <w:pPr>
        <w:pStyle w:val="BodyText"/>
        <w:spacing w:line="278" w:lineRule="auto" w:before="141"/>
        <w:ind w:right="120"/>
        <w:rPr>
          <w:rFonts w:ascii="Adobe Jenson Pro Lt Capt" w:hAnsi="Adobe Jenson Pro Lt Capt"/>
          <w:b w:val="0"/>
          <w:sz w:val="12"/>
        </w:rPr>
      </w:pPr>
      <w:r>
        <w:rPr>
          <w:color w:val="231F20"/>
        </w:rPr>
        <w:t>sufficient equipment.</w:t>
      </w:r>
      <w:r>
        <w:rPr>
          <w:rFonts w:ascii="Adobe Jenson Pro Lt Capt" w:hAnsi="Adobe Jenson Pro Lt Capt"/>
          <w:b w:val="0"/>
          <w:color w:val="231F20"/>
          <w:position w:val="6"/>
          <w:sz w:val="12"/>
        </w:rPr>
        <w:t>96 </w:t>
      </w:r>
      <w:r>
        <w:rPr>
          <w:color w:val="231F20"/>
        </w:rPr>
        <w:t>While mainly to be applied as a last resort, such a strong international capacity will give teeth to diplomatic initiatives to pre- vent conﬂict and more effectively protect civilians  if  negotiations  fail.  In the absence of an international protection capacity, ‘blankets and Band- Aids’, as Egeland has warned, too readily take the place of ‘justice and pro- tection’, with civilians left unprotected and</w:t>
      </w:r>
      <w:r>
        <w:rPr>
          <w:color w:val="231F20"/>
          <w:spacing w:val="9"/>
        </w:rPr>
        <w:t> </w:t>
      </w:r>
      <w:r>
        <w:rPr>
          <w:color w:val="231F20"/>
        </w:rPr>
        <w:t>displaced.</w:t>
      </w:r>
      <w:r>
        <w:rPr>
          <w:rFonts w:ascii="Adobe Jenson Pro Lt Capt" w:hAnsi="Adobe Jenson Pro Lt Capt"/>
          <w:b w:val="0"/>
          <w:color w:val="231F20"/>
          <w:position w:val="6"/>
          <w:sz w:val="12"/>
        </w:rPr>
        <w:t>97</w:t>
      </w: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26"/>
        </w:rPr>
      </w:pPr>
    </w:p>
    <w:p>
      <w:pPr>
        <w:pStyle w:val="BodyText"/>
        <w:ind w:left="0"/>
        <w:jc w:val="left"/>
        <w:rPr>
          <w:rFonts w:ascii="Adobe Jenson Pro Lt Capt"/>
          <w:b w:val="0"/>
          <w:sz w:val="36"/>
        </w:rPr>
      </w:pPr>
    </w:p>
    <w:p>
      <w:pPr>
        <w:pStyle w:val="ListParagraph"/>
        <w:numPr>
          <w:ilvl w:val="0"/>
          <w:numId w:val="5"/>
        </w:numPr>
        <w:tabs>
          <w:tab w:pos="440" w:val="left" w:leader="none"/>
        </w:tabs>
        <w:spacing w:line="213" w:lineRule="auto" w:before="0" w:after="0"/>
        <w:ind w:left="100" w:right="121" w:firstLine="182"/>
        <w:jc w:val="both"/>
        <w:rPr>
          <w:sz w:val="15"/>
        </w:rPr>
      </w:pPr>
      <w:r>
        <w:rPr>
          <w:color w:val="231F20"/>
          <w:sz w:val="15"/>
        </w:rPr>
        <w:t>Although</w:t>
      </w:r>
      <w:r>
        <w:rPr>
          <w:color w:val="231F20"/>
          <w:spacing w:val="-5"/>
          <w:sz w:val="15"/>
        </w:rPr>
        <w:t> </w:t>
      </w:r>
      <w:r>
        <w:rPr>
          <w:color w:val="231F20"/>
          <w:sz w:val="15"/>
        </w:rPr>
        <w:t>the</w:t>
      </w:r>
      <w:r>
        <w:rPr>
          <w:color w:val="231F20"/>
          <w:spacing w:val="-4"/>
          <w:sz w:val="15"/>
        </w:rPr>
        <w:t> </w:t>
      </w:r>
      <w:r>
        <w:rPr>
          <w:color w:val="231F20"/>
          <w:sz w:val="15"/>
        </w:rPr>
        <w:t>World</w:t>
      </w:r>
      <w:r>
        <w:rPr>
          <w:color w:val="231F20"/>
          <w:spacing w:val="-4"/>
          <w:sz w:val="15"/>
        </w:rPr>
        <w:t> </w:t>
      </w:r>
      <w:r>
        <w:rPr>
          <w:color w:val="231F20"/>
          <w:sz w:val="15"/>
        </w:rPr>
        <w:t>Summit</w:t>
      </w:r>
      <w:r>
        <w:rPr>
          <w:color w:val="231F20"/>
          <w:spacing w:val="-4"/>
          <w:sz w:val="15"/>
        </w:rPr>
        <w:t> </w:t>
      </w:r>
      <w:r>
        <w:rPr>
          <w:color w:val="231F20"/>
          <w:sz w:val="15"/>
        </w:rPr>
        <w:t>Outcome</w:t>
      </w:r>
      <w:r>
        <w:rPr>
          <w:color w:val="231F20"/>
          <w:spacing w:val="-4"/>
          <w:sz w:val="15"/>
        </w:rPr>
        <w:t> </w:t>
      </w:r>
      <w:r>
        <w:rPr>
          <w:color w:val="231F20"/>
          <w:sz w:val="15"/>
        </w:rPr>
        <w:t>Document</w:t>
      </w:r>
      <w:r>
        <w:rPr>
          <w:color w:val="231F20"/>
          <w:spacing w:val="-4"/>
          <w:sz w:val="15"/>
        </w:rPr>
        <w:t> </w:t>
      </w:r>
      <w:r>
        <w:rPr>
          <w:color w:val="231F20"/>
          <w:sz w:val="15"/>
        </w:rPr>
        <w:t>did</w:t>
      </w:r>
      <w:r>
        <w:rPr>
          <w:color w:val="231F20"/>
          <w:spacing w:val="-4"/>
          <w:sz w:val="15"/>
        </w:rPr>
        <w:t> </w:t>
      </w:r>
      <w:r>
        <w:rPr>
          <w:color w:val="231F20"/>
          <w:sz w:val="15"/>
        </w:rPr>
        <w:t>not</w:t>
      </w:r>
      <w:r>
        <w:rPr>
          <w:color w:val="231F20"/>
          <w:spacing w:val="-4"/>
          <w:sz w:val="15"/>
        </w:rPr>
        <w:t> </w:t>
      </w:r>
      <w:r>
        <w:rPr>
          <w:color w:val="231F20"/>
          <w:sz w:val="15"/>
        </w:rPr>
        <w:t>go</w:t>
      </w:r>
      <w:r>
        <w:rPr>
          <w:color w:val="231F20"/>
          <w:spacing w:val="-4"/>
          <w:sz w:val="15"/>
        </w:rPr>
        <w:t> </w:t>
      </w:r>
      <w:r>
        <w:rPr>
          <w:color w:val="231F20"/>
          <w:sz w:val="15"/>
        </w:rPr>
        <w:t>as</w:t>
      </w:r>
      <w:r>
        <w:rPr>
          <w:color w:val="231F20"/>
          <w:spacing w:val="-4"/>
          <w:sz w:val="15"/>
        </w:rPr>
        <w:t> </w:t>
      </w:r>
      <w:r>
        <w:rPr>
          <w:color w:val="231F20"/>
          <w:sz w:val="15"/>
        </w:rPr>
        <w:t>far</w:t>
      </w:r>
      <w:r>
        <w:rPr>
          <w:color w:val="231F20"/>
          <w:spacing w:val="-4"/>
          <w:sz w:val="15"/>
        </w:rPr>
        <w:t> </w:t>
      </w:r>
      <w:r>
        <w:rPr>
          <w:color w:val="231F20"/>
          <w:sz w:val="15"/>
        </w:rPr>
        <w:t>as</w:t>
      </w:r>
      <w:r>
        <w:rPr>
          <w:color w:val="231F20"/>
          <w:spacing w:val="-4"/>
          <w:sz w:val="15"/>
        </w:rPr>
        <w:t> </w:t>
      </w:r>
      <w:r>
        <w:rPr>
          <w:color w:val="231F20"/>
          <w:sz w:val="15"/>
        </w:rPr>
        <w:t>the</w:t>
      </w:r>
      <w:r>
        <w:rPr>
          <w:color w:val="231F20"/>
          <w:spacing w:val="-4"/>
          <w:sz w:val="15"/>
        </w:rPr>
        <w:t> </w:t>
      </w:r>
      <w:r>
        <w:rPr>
          <w:color w:val="231F20"/>
          <w:sz w:val="15"/>
        </w:rPr>
        <w:t>Secretary-General’s reform</w:t>
      </w:r>
      <w:r>
        <w:rPr>
          <w:color w:val="231F20"/>
          <w:spacing w:val="-10"/>
          <w:sz w:val="15"/>
        </w:rPr>
        <w:t> </w:t>
      </w:r>
      <w:r>
        <w:rPr>
          <w:color w:val="231F20"/>
          <w:sz w:val="15"/>
        </w:rPr>
        <w:t>report</w:t>
      </w:r>
      <w:r>
        <w:rPr>
          <w:color w:val="231F20"/>
          <w:spacing w:val="-9"/>
          <w:sz w:val="15"/>
        </w:rPr>
        <w:t> </w:t>
      </w:r>
      <w:r>
        <w:rPr>
          <w:color w:val="231F20"/>
          <w:sz w:val="15"/>
        </w:rPr>
        <w:t>in</w:t>
      </w:r>
      <w:r>
        <w:rPr>
          <w:color w:val="231F20"/>
          <w:spacing w:val="-9"/>
          <w:sz w:val="15"/>
        </w:rPr>
        <w:t> </w:t>
      </w:r>
      <w:r>
        <w:rPr>
          <w:color w:val="231F20"/>
          <w:sz w:val="15"/>
        </w:rPr>
        <w:t>endorsing</w:t>
      </w:r>
      <w:r>
        <w:rPr>
          <w:color w:val="231F20"/>
          <w:spacing w:val="-9"/>
          <w:sz w:val="15"/>
        </w:rPr>
        <w:t> </w:t>
      </w:r>
      <w:r>
        <w:rPr>
          <w:color w:val="231F20"/>
          <w:sz w:val="15"/>
        </w:rPr>
        <w:t>‘strategic</w:t>
      </w:r>
      <w:r>
        <w:rPr>
          <w:color w:val="231F20"/>
          <w:spacing w:val="-9"/>
          <w:sz w:val="15"/>
        </w:rPr>
        <w:t> </w:t>
      </w:r>
      <w:r>
        <w:rPr>
          <w:color w:val="231F20"/>
          <w:sz w:val="15"/>
        </w:rPr>
        <w:t>reserves’,</w:t>
      </w:r>
      <w:r>
        <w:rPr>
          <w:color w:val="231F20"/>
          <w:spacing w:val="-10"/>
          <w:sz w:val="15"/>
        </w:rPr>
        <w:t> </w:t>
      </w:r>
      <w:r>
        <w:rPr>
          <w:color w:val="231F20"/>
          <w:sz w:val="15"/>
        </w:rPr>
        <w:t>it</w:t>
      </w:r>
      <w:r>
        <w:rPr>
          <w:color w:val="231F20"/>
          <w:spacing w:val="-9"/>
          <w:sz w:val="15"/>
        </w:rPr>
        <w:t> </w:t>
      </w:r>
      <w:r>
        <w:rPr>
          <w:color w:val="231F20"/>
          <w:sz w:val="15"/>
        </w:rPr>
        <w:t>did</w:t>
      </w:r>
      <w:r>
        <w:rPr>
          <w:color w:val="231F20"/>
          <w:spacing w:val="-9"/>
          <w:sz w:val="15"/>
        </w:rPr>
        <w:t> </w:t>
      </w:r>
      <w:r>
        <w:rPr>
          <w:color w:val="231F20"/>
          <w:sz w:val="15"/>
        </w:rPr>
        <w:t>call</w:t>
      </w:r>
      <w:r>
        <w:rPr>
          <w:color w:val="231F20"/>
          <w:spacing w:val="-9"/>
          <w:sz w:val="15"/>
        </w:rPr>
        <w:t> </w:t>
      </w:r>
      <w:r>
        <w:rPr>
          <w:color w:val="231F20"/>
          <w:sz w:val="15"/>
        </w:rPr>
        <w:t>for</w:t>
      </w:r>
      <w:r>
        <w:rPr>
          <w:color w:val="231F20"/>
          <w:spacing w:val="-9"/>
          <w:sz w:val="15"/>
        </w:rPr>
        <w:t> </w:t>
      </w:r>
      <w:r>
        <w:rPr>
          <w:color w:val="231F20"/>
          <w:sz w:val="15"/>
        </w:rPr>
        <w:t>the</w:t>
      </w:r>
      <w:r>
        <w:rPr>
          <w:color w:val="231F20"/>
          <w:spacing w:val="-10"/>
          <w:sz w:val="15"/>
        </w:rPr>
        <w:t> </w:t>
      </w:r>
      <w:r>
        <w:rPr>
          <w:color w:val="231F20"/>
          <w:sz w:val="15"/>
        </w:rPr>
        <w:t>‘further</w:t>
      </w:r>
      <w:r>
        <w:rPr>
          <w:color w:val="231F20"/>
          <w:spacing w:val="-9"/>
          <w:sz w:val="15"/>
        </w:rPr>
        <w:t> </w:t>
      </w:r>
      <w:r>
        <w:rPr>
          <w:color w:val="231F20"/>
          <w:sz w:val="15"/>
        </w:rPr>
        <w:t>development</w:t>
      </w:r>
      <w:r>
        <w:rPr>
          <w:color w:val="231F20"/>
          <w:spacing w:val="-9"/>
          <w:sz w:val="15"/>
        </w:rPr>
        <w:t> </w:t>
      </w:r>
      <w:r>
        <w:rPr>
          <w:color w:val="231F20"/>
          <w:sz w:val="15"/>
        </w:rPr>
        <w:t>of</w:t>
      </w:r>
      <w:r>
        <w:rPr>
          <w:color w:val="231F20"/>
          <w:spacing w:val="-9"/>
          <w:sz w:val="15"/>
        </w:rPr>
        <w:t> </w:t>
      </w:r>
      <w:r>
        <w:rPr>
          <w:color w:val="231F20"/>
          <w:sz w:val="15"/>
        </w:rPr>
        <w:t>proposals’ to</w:t>
      </w:r>
      <w:r>
        <w:rPr>
          <w:color w:val="231F20"/>
          <w:spacing w:val="-6"/>
          <w:sz w:val="15"/>
        </w:rPr>
        <w:t> </w:t>
      </w:r>
      <w:r>
        <w:rPr>
          <w:color w:val="231F20"/>
          <w:sz w:val="15"/>
        </w:rPr>
        <w:t>create</w:t>
      </w:r>
      <w:r>
        <w:rPr>
          <w:color w:val="231F20"/>
          <w:spacing w:val="-6"/>
          <w:sz w:val="15"/>
        </w:rPr>
        <w:t> </w:t>
      </w:r>
      <w:r>
        <w:rPr>
          <w:color w:val="231F20"/>
          <w:sz w:val="15"/>
        </w:rPr>
        <w:t>such</w:t>
      </w:r>
      <w:r>
        <w:rPr>
          <w:color w:val="231F20"/>
          <w:spacing w:val="-6"/>
          <w:sz w:val="15"/>
        </w:rPr>
        <w:t> </w:t>
      </w:r>
      <w:r>
        <w:rPr>
          <w:color w:val="231F20"/>
          <w:sz w:val="15"/>
        </w:rPr>
        <w:t>capacity,</w:t>
      </w:r>
      <w:r>
        <w:rPr>
          <w:color w:val="231F20"/>
          <w:spacing w:val="-6"/>
          <w:sz w:val="15"/>
        </w:rPr>
        <w:t> </w:t>
      </w:r>
      <w:r>
        <w:rPr>
          <w:color w:val="231F20"/>
          <w:sz w:val="15"/>
        </w:rPr>
        <w:t>asked</w:t>
      </w:r>
      <w:r>
        <w:rPr>
          <w:color w:val="231F20"/>
          <w:spacing w:val="-6"/>
          <w:sz w:val="15"/>
        </w:rPr>
        <w:t> </w:t>
      </w:r>
      <w:r>
        <w:rPr>
          <w:color w:val="231F20"/>
          <w:sz w:val="15"/>
        </w:rPr>
        <w:t>regional</w:t>
      </w:r>
      <w:r>
        <w:rPr>
          <w:color w:val="231F20"/>
          <w:spacing w:val="-6"/>
          <w:sz w:val="15"/>
        </w:rPr>
        <w:t> </w:t>
      </w:r>
      <w:r>
        <w:rPr>
          <w:color w:val="231F20"/>
          <w:sz w:val="15"/>
        </w:rPr>
        <w:t>bodies</w:t>
      </w:r>
      <w:r>
        <w:rPr>
          <w:color w:val="231F20"/>
          <w:spacing w:val="-6"/>
          <w:sz w:val="15"/>
        </w:rPr>
        <w:t> </w:t>
      </w:r>
      <w:r>
        <w:rPr>
          <w:color w:val="231F20"/>
          <w:sz w:val="15"/>
        </w:rPr>
        <w:t>to</w:t>
      </w:r>
      <w:r>
        <w:rPr>
          <w:color w:val="231F20"/>
          <w:spacing w:val="-5"/>
          <w:sz w:val="15"/>
        </w:rPr>
        <w:t> </w:t>
      </w:r>
      <w:r>
        <w:rPr>
          <w:color w:val="231F20"/>
          <w:sz w:val="15"/>
        </w:rPr>
        <w:t>consider</w:t>
      </w:r>
      <w:r>
        <w:rPr>
          <w:color w:val="231F20"/>
          <w:spacing w:val="-6"/>
          <w:sz w:val="15"/>
        </w:rPr>
        <w:t> </w:t>
      </w:r>
      <w:r>
        <w:rPr>
          <w:color w:val="231F20"/>
          <w:sz w:val="15"/>
        </w:rPr>
        <w:t>placing</w:t>
      </w:r>
      <w:r>
        <w:rPr>
          <w:color w:val="231F20"/>
          <w:spacing w:val="-6"/>
          <w:sz w:val="15"/>
        </w:rPr>
        <w:t> </w:t>
      </w:r>
      <w:r>
        <w:rPr>
          <w:color w:val="231F20"/>
          <w:sz w:val="15"/>
        </w:rPr>
        <w:t>their</w:t>
      </w:r>
      <w:r>
        <w:rPr>
          <w:color w:val="231F20"/>
          <w:spacing w:val="-6"/>
          <w:sz w:val="15"/>
        </w:rPr>
        <w:t> </w:t>
      </w:r>
      <w:r>
        <w:rPr>
          <w:color w:val="231F20"/>
          <w:sz w:val="15"/>
        </w:rPr>
        <w:t>military</w:t>
      </w:r>
      <w:r>
        <w:rPr>
          <w:color w:val="231F20"/>
          <w:spacing w:val="-6"/>
          <w:sz w:val="15"/>
        </w:rPr>
        <w:t> </w:t>
      </w:r>
      <w:r>
        <w:rPr>
          <w:color w:val="231F20"/>
          <w:sz w:val="15"/>
        </w:rPr>
        <w:t>capacity</w:t>
      </w:r>
      <w:r>
        <w:rPr>
          <w:color w:val="231F20"/>
          <w:spacing w:val="-6"/>
          <w:sz w:val="15"/>
        </w:rPr>
        <w:t> </w:t>
      </w:r>
      <w:r>
        <w:rPr>
          <w:color w:val="231F20"/>
          <w:sz w:val="15"/>
        </w:rPr>
        <w:t>under</w:t>
      </w:r>
      <w:r>
        <w:rPr>
          <w:color w:val="231F20"/>
          <w:spacing w:val="-6"/>
          <w:sz w:val="15"/>
        </w:rPr>
        <w:t> </w:t>
      </w:r>
      <w:r>
        <w:rPr>
          <w:color w:val="231F20"/>
          <w:sz w:val="15"/>
        </w:rPr>
        <w:t>UN standby arrangements and endorsed a standing police capacity. UN General Assembly, ‘In larger freedom:</w:t>
      </w:r>
      <w:r>
        <w:rPr>
          <w:color w:val="231F20"/>
          <w:spacing w:val="-7"/>
          <w:sz w:val="15"/>
        </w:rPr>
        <w:t> </w:t>
      </w:r>
      <w:r>
        <w:rPr>
          <w:color w:val="231F20"/>
          <w:sz w:val="15"/>
        </w:rPr>
        <w:t>toward</w:t>
      </w:r>
      <w:r>
        <w:rPr>
          <w:color w:val="231F20"/>
          <w:spacing w:val="-7"/>
          <w:sz w:val="15"/>
        </w:rPr>
        <w:t> </w:t>
      </w:r>
      <w:r>
        <w:rPr>
          <w:color w:val="231F20"/>
          <w:sz w:val="15"/>
        </w:rPr>
        <w:t>development,</w:t>
      </w:r>
      <w:r>
        <w:rPr>
          <w:color w:val="231F20"/>
          <w:spacing w:val="-6"/>
          <w:sz w:val="15"/>
        </w:rPr>
        <w:t> </w:t>
      </w:r>
      <w:r>
        <w:rPr>
          <w:color w:val="231F20"/>
          <w:sz w:val="15"/>
        </w:rPr>
        <w:t>security</w:t>
      </w:r>
      <w:r>
        <w:rPr>
          <w:color w:val="231F20"/>
          <w:spacing w:val="-7"/>
          <w:sz w:val="15"/>
        </w:rPr>
        <w:t> </w:t>
      </w:r>
      <w:r>
        <w:rPr>
          <w:color w:val="231F20"/>
          <w:sz w:val="15"/>
        </w:rPr>
        <w:t>and</w:t>
      </w:r>
      <w:r>
        <w:rPr>
          <w:color w:val="231F20"/>
          <w:spacing w:val="-6"/>
          <w:sz w:val="15"/>
        </w:rPr>
        <w:t> </w:t>
      </w:r>
      <w:r>
        <w:rPr>
          <w:color w:val="231F20"/>
          <w:sz w:val="15"/>
        </w:rPr>
        <w:t>human</w:t>
      </w:r>
      <w:r>
        <w:rPr>
          <w:color w:val="231F20"/>
          <w:spacing w:val="-7"/>
          <w:sz w:val="15"/>
        </w:rPr>
        <w:t> </w:t>
      </w:r>
      <w:r>
        <w:rPr>
          <w:color w:val="231F20"/>
          <w:sz w:val="15"/>
        </w:rPr>
        <w:t>rights</w:t>
      </w:r>
      <w:r>
        <w:rPr>
          <w:color w:val="231F20"/>
          <w:spacing w:val="-6"/>
          <w:sz w:val="15"/>
        </w:rPr>
        <w:t> </w:t>
      </w:r>
      <w:r>
        <w:rPr>
          <w:color w:val="231F20"/>
          <w:sz w:val="15"/>
        </w:rPr>
        <w:t>for</w:t>
      </w:r>
      <w:r>
        <w:rPr>
          <w:color w:val="231F20"/>
          <w:spacing w:val="-7"/>
          <w:sz w:val="15"/>
        </w:rPr>
        <w:t> </w:t>
      </w:r>
      <w:r>
        <w:rPr>
          <w:color w:val="231F20"/>
          <w:sz w:val="15"/>
        </w:rPr>
        <w:t>all’,</w:t>
      </w:r>
      <w:r>
        <w:rPr>
          <w:color w:val="231F20"/>
          <w:spacing w:val="-6"/>
          <w:sz w:val="15"/>
        </w:rPr>
        <w:t> </w:t>
      </w:r>
      <w:r>
        <w:rPr>
          <w:color w:val="231F20"/>
          <w:sz w:val="15"/>
        </w:rPr>
        <w:t>Report</w:t>
      </w:r>
      <w:r>
        <w:rPr>
          <w:color w:val="231F20"/>
          <w:spacing w:val="-7"/>
          <w:sz w:val="15"/>
        </w:rPr>
        <w:t> </w:t>
      </w:r>
      <w:r>
        <w:rPr>
          <w:color w:val="231F20"/>
          <w:sz w:val="15"/>
        </w:rPr>
        <w:t>of</w:t>
      </w:r>
      <w:r>
        <w:rPr>
          <w:color w:val="231F20"/>
          <w:spacing w:val="-6"/>
          <w:sz w:val="15"/>
        </w:rPr>
        <w:t> </w:t>
      </w:r>
      <w:r>
        <w:rPr>
          <w:color w:val="231F20"/>
          <w:sz w:val="15"/>
        </w:rPr>
        <w:t>the</w:t>
      </w:r>
      <w:r>
        <w:rPr>
          <w:color w:val="231F20"/>
          <w:spacing w:val="-7"/>
          <w:sz w:val="15"/>
        </w:rPr>
        <w:t> </w:t>
      </w:r>
      <w:r>
        <w:rPr>
          <w:color w:val="231F20"/>
          <w:sz w:val="15"/>
        </w:rPr>
        <w:t>Secretary-General, A/59/2005,</w:t>
      </w:r>
      <w:r>
        <w:rPr>
          <w:color w:val="231F20"/>
          <w:spacing w:val="-6"/>
          <w:sz w:val="15"/>
        </w:rPr>
        <w:t> </w:t>
      </w:r>
      <w:r>
        <w:rPr>
          <w:color w:val="231F20"/>
          <w:sz w:val="15"/>
        </w:rPr>
        <w:t>21</w:t>
      </w:r>
      <w:r>
        <w:rPr>
          <w:color w:val="231F20"/>
          <w:spacing w:val="-6"/>
          <w:sz w:val="15"/>
        </w:rPr>
        <w:t> </w:t>
      </w:r>
      <w:r>
        <w:rPr>
          <w:color w:val="231F20"/>
          <w:sz w:val="15"/>
        </w:rPr>
        <w:t>Mar.</w:t>
      </w:r>
      <w:r>
        <w:rPr>
          <w:color w:val="231F20"/>
          <w:spacing w:val="-5"/>
          <w:sz w:val="15"/>
        </w:rPr>
        <w:t> </w:t>
      </w:r>
      <w:r>
        <w:rPr>
          <w:color w:val="231F20"/>
          <w:sz w:val="15"/>
        </w:rPr>
        <w:t>2005,</w:t>
      </w:r>
      <w:r>
        <w:rPr>
          <w:color w:val="231F20"/>
          <w:spacing w:val="-6"/>
          <w:sz w:val="15"/>
        </w:rPr>
        <w:t> </w:t>
      </w:r>
      <w:r>
        <w:rPr>
          <w:color w:val="231F20"/>
          <w:sz w:val="15"/>
        </w:rPr>
        <w:t>para.</w:t>
      </w:r>
      <w:r>
        <w:rPr>
          <w:color w:val="231F20"/>
          <w:spacing w:val="-6"/>
          <w:sz w:val="15"/>
        </w:rPr>
        <w:t> </w:t>
      </w:r>
      <w:r>
        <w:rPr>
          <w:color w:val="231F20"/>
          <w:sz w:val="15"/>
        </w:rPr>
        <w:t>209;</w:t>
      </w:r>
      <w:r>
        <w:rPr>
          <w:color w:val="231F20"/>
          <w:spacing w:val="-5"/>
          <w:sz w:val="15"/>
        </w:rPr>
        <w:t> </w:t>
      </w:r>
      <w:r>
        <w:rPr>
          <w:color w:val="231F20"/>
          <w:sz w:val="15"/>
        </w:rPr>
        <w:t>and</w:t>
      </w:r>
      <w:r>
        <w:rPr>
          <w:color w:val="231F20"/>
          <w:spacing w:val="-6"/>
          <w:sz w:val="15"/>
        </w:rPr>
        <w:t> </w:t>
      </w:r>
      <w:r>
        <w:rPr>
          <w:color w:val="231F20"/>
          <w:sz w:val="15"/>
        </w:rPr>
        <w:t>UN</w:t>
      </w:r>
      <w:r>
        <w:rPr>
          <w:color w:val="231F20"/>
          <w:spacing w:val="-5"/>
          <w:sz w:val="15"/>
        </w:rPr>
        <w:t> </w:t>
      </w:r>
      <w:r>
        <w:rPr>
          <w:color w:val="231F20"/>
          <w:sz w:val="15"/>
        </w:rPr>
        <w:t>General</w:t>
      </w:r>
      <w:r>
        <w:rPr>
          <w:color w:val="231F20"/>
          <w:spacing w:val="-6"/>
          <w:sz w:val="15"/>
        </w:rPr>
        <w:t> </w:t>
      </w:r>
      <w:r>
        <w:rPr>
          <w:color w:val="231F20"/>
          <w:sz w:val="15"/>
        </w:rPr>
        <w:t>Assembly</w:t>
      </w:r>
      <w:r>
        <w:rPr>
          <w:color w:val="231F20"/>
          <w:spacing w:val="-6"/>
          <w:sz w:val="15"/>
        </w:rPr>
        <w:t> </w:t>
      </w:r>
      <w:r>
        <w:rPr>
          <w:color w:val="231F20"/>
          <w:sz w:val="15"/>
        </w:rPr>
        <w:t>(note</w:t>
      </w:r>
      <w:r>
        <w:rPr>
          <w:color w:val="231F20"/>
          <w:spacing w:val="-5"/>
          <w:sz w:val="15"/>
        </w:rPr>
        <w:t> </w:t>
      </w:r>
      <w:r>
        <w:rPr>
          <w:color w:val="231F20"/>
          <w:sz w:val="15"/>
        </w:rPr>
        <w:t>40),</w:t>
      </w:r>
      <w:r>
        <w:rPr>
          <w:color w:val="231F20"/>
          <w:spacing w:val="-6"/>
          <w:sz w:val="15"/>
        </w:rPr>
        <w:t> </w:t>
      </w:r>
      <w:r>
        <w:rPr>
          <w:color w:val="231F20"/>
          <w:sz w:val="15"/>
        </w:rPr>
        <w:t>paras</w:t>
      </w:r>
      <w:r>
        <w:rPr>
          <w:color w:val="231F20"/>
          <w:spacing w:val="-5"/>
          <w:sz w:val="15"/>
        </w:rPr>
        <w:t> </w:t>
      </w:r>
      <w:r>
        <w:rPr>
          <w:color w:val="231F20"/>
          <w:sz w:val="15"/>
        </w:rPr>
        <w:t>92–93,</w:t>
      </w:r>
      <w:r>
        <w:rPr>
          <w:color w:val="231F20"/>
          <w:spacing w:val="-6"/>
          <w:sz w:val="15"/>
        </w:rPr>
        <w:t> </w:t>
      </w:r>
      <w:r>
        <w:rPr>
          <w:color w:val="231F20"/>
          <w:sz w:val="15"/>
        </w:rPr>
        <w:t>170.</w:t>
      </w:r>
    </w:p>
    <w:p>
      <w:pPr>
        <w:pStyle w:val="ListParagraph"/>
        <w:numPr>
          <w:ilvl w:val="0"/>
          <w:numId w:val="5"/>
        </w:numPr>
        <w:tabs>
          <w:tab w:pos="440" w:val="left" w:leader="none"/>
        </w:tabs>
        <w:spacing w:line="184" w:lineRule="exact" w:before="0" w:after="0"/>
        <w:ind w:left="439" w:right="0" w:hanging="157"/>
        <w:jc w:val="both"/>
        <w:rPr>
          <w:sz w:val="15"/>
        </w:rPr>
      </w:pPr>
      <w:r>
        <w:rPr>
          <w:color w:val="231F20"/>
          <w:sz w:val="15"/>
        </w:rPr>
        <w:t>Egeland (note 89), p.</w:t>
      </w:r>
      <w:r>
        <w:rPr>
          <w:color w:val="231F20"/>
          <w:spacing w:val="-18"/>
          <w:sz w:val="15"/>
        </w:rPr>
        <w:t> </w:t>
      </w:r>
      <w:r>
        <w:rPr>
          <w:color w:val="231F20"/>
          <w:sz w:val="15"/>
        </w:rPr>
        <w:t>215.</w:t>
      </w:r>
    </w:p>
    <w:sectPr>
      <w:pgSz w:w="8850" w:h="13270"/>
      <w:pgMar w:header="752" w:footer="0" w:top="1080" w:bottom="280" w:left="1080" w:right="10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dobe Jenson Pro Lt Capt">
    <w:altName w:val="Adobe Jenson Pro Lt Capt"/>
    <w:charset w:val="0"/>
    <w:family w:val="roman"/>
    <w:pitch w:val="variable"/>
  </w:font>
  <w:font w:name="Palatino Linotype">
    <w:altName w:val="Palatino Linotype"/>
    <w:charset w:val="0"/>
    <w:family w:val="roman"/>
    <w:pitch w:val="variable"/>
  </w:font>
  <w:font w:name="Georgia">
    <w:altName w:val="Georgia"/>
    <w:charset w:val="0"/>
    <w:family w:val="roman"/>
    <w:pitch w:val="variable"/>
  </w:font>
  <w:font w:name="Calibri">
    <w:altName w:val="Calibri"/>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type id="_x0000_t202" o:spt="202" coordsize="21600,21600" path="m,l,21600r21600,l21600,xe">
          <v:stroke joinstyle="miter"/>
          <v:path gradientshapeok="t" o:connecttype="rect"/>
        </v:shapetype>
        <v:shape style="position:absolute;margin-left:56.0471pt;margin-top:36.614296pt;width:162.25pt;height:15.2pt;mso-position-horizontal-relative:page;mso-position-vertical-relative:page;z-index:-252058624" type="#_x0000_t202" filled="false" stroked="false">
          <v:textbox inset="0,0,0,0">
            <w:txbxContent>
              <w:p>
                <w:pPr>
                  <w:spacing w:before="53"/>
                  <w:ind w:left="60" w:right="0" w:firstLine="0"/>
                  <w:jc w:val="left"/>
                  <w:rPr>
                    <w:sz w:val="17"/>
                  </w:rPr>
                </w:pPr>
                <w:r>
                  <w:rPr/>
                  <w:fldChar w:fldCharType="begin"/>
                </w:r>
                <w:r>
                  <w:rPr>
                    <w:rFonts w:ascii="Adobe Jenson Pro Lt Capt"/>
                    <w:b w:val="0"/>
                    <w:color w:val="231F20"/>
                    <w:sz w:val="17"/>
                  </w:rPr>
                  <w:instrText> PAGE </w:instrText>
                </w:r>
                <w:r>
                  <w:rPr/>
                  <w:fldChar w:fldCharType="separate"/>
                </w:r>
                <w:r>
                  <w:rPr/>
                  <w:t>16</w:t>
                </w:r>
                <w:r>
                  <w:rPr/>
                  <w:fldChar w:fldCharType="end"/>
                </w:r>
                <w:r>
                  <w:rPr>
                    <w:rFonts w:ascii="Adobe Jenson Pro Lt Capt"/>
                    <w:b w:val="0"/>
                    <w:color w:val="231F20"/>
                    <w:sz w:val="17"/>
                  </w:rPr>
                  <w:t> </w:t>
                </w:r>
                <w:r>
                  <w:rPr>
                    <w:color w:val="231F20"/>
                    <w:sz w:val="16"/>
                  </w:rPr>
                  <w:t>SECURITY AND CONFLICTS</w:t>
                </w:r>
                <w:r>
                  <w:rPr>
                    <w:color w:val="231F20"/>
                    <w:sz w:val="19"/>
                  </w:rPr>
                  <w:t>, </w:t>
                </w:r>
                <w:r>
                  <w:rPr>
                    <w:color w:val="231F20"/>
                    <w:sz w:val="17"/>
                  </w:rPr>
                  <w:t>2008</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271.145691pt;margin-top:38.639896pt;width:114.9pt;height:12.65pt;mso-position-horizontal-relative:page;mso-position-vertical-relative:page;z-index:-252057600" type="#_x0000_t202" filled="false" stroked="false">
          <v:textbox inset="0,0,0,0">
            <w:txbxContent>
              <w:p>
                <w:pPr>
                  <w:spacing w:before="31"/>
                  <w:ind w:left="20" w:right="0" w:firstLine="0"/>
                  <w:jc w:val="left"/>
                  <w:rPr>
                    <w:rFonts w:ascii="Adobe Jenson Pro Lt Capt"/>
                    <w:b w:val="0"/>
                    <w:sz w:val="17"/>
                  </w:rPr>
                </w:pPr>
                <w:r>
                  <w:rPr>
                    <w:color w:val="231F20"/>
                    <w:sz w:val="16"/>
                  </w:rPr>
                  <w:t>MASS DISPLACEMENT </w:t>
                </w:r>
                <w:r>
                  <w:rPr/>
                  <w:fldChar w:fldCharType="begin"/>
                </w:r>
                <w:r>
                  <w:rPr>
                    <w:rFonts w:ascii="Adobe Jenson Pro Lt Capt"/>
                    <w:b w:val="0"/>
                    <w:color w:val="231F20"/>
                    <w:sz w:val="17"/>
                  </w:rPr>
                  <w:instrText> PAGE </w:instrText>
                </w:r>
                <w:r>
                  <w:rPr/>
                  <w:fldChar w:fldCharType="separate"/>
                </w:r>
                <w:r>
                  <w:rPr/>
                  <w:t>17</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85"/>
      <w:numFmt w:val="decimal"/>
      <w:lvlText w:val="%1"/>
      <w:lvlJc w:val="left"/>
      <w:pPr>
        <w:ind w:left="439" w:hanging="157"/>
        <w:jc w:val="left"/>
      </w:pPr>
      <w:rPr>
        <w:rFonts w:hint="default" w:ascii="Adobe Jenson Pro Lt Capt" w:hAnsi="Adobe Jenson Pro Lt Capt" w:eastAsia="Adobe Jenson Pro Lt Capt" w:cs="Adobe Jenson Pro Lt Capt"/>
        <w:color w:val="231F20"/>
        <w:w w:val="99"/>
        <w:position w:val="4"/>
        <w:sz w:val="12"/>
        <w:szCs w:val="12"/>
      </w:rPr>
    </w:lvl>
    <w:lvl w:ilvl="1">
      <w:start w:val="0"/>
      <w:numFmt w:val="bullet"/>
      <w:lvlText w:val="•"/>
      <w:lvlJc w:val="left"/>
      <w:pPr>
        <w:ind w:left="1066" w:hanging="157"/>
      </w:pPr>
      <w:rPr>
        <w:rFonts w:hint="default"/>
      </w:rPr>
    </w:lvl>
    <w:lvl w:ilvl="2">
      <w:start w:val="0"/>
      <w:numFmt w:val="bullet"/>
      <w:lvlText w:val="•"/>
      <w:lvlJc w:val="left"/>
      <w:pPr>
        <w:ind w:left="1692" w:hanging="157"/>
      </w:pPr>
      <w:rPr>
        <w:rFonts w:hint="default"/>
      </w:rPr>
    </w:lvl>
    <w:lvl w:ilvl="3">
      <w:start w:val="0"/>
      <w:numFmt w:val="bullet"/>
      <w:lvlText w:val="•"/>
      <w:lvlJc w:val="left"/>
      <w:pPr>
        <w:ind w:left="2319" w:hanging="157"/>
      </w:pPr>
      <w:rPr>
        <w:rFonts w:hint="default"/>
      </w:rPr>
    </w:lvl>
    <w:lvl w:ilvl="4">
      <w:start w:val="0"/>
      <w:numFmt w:val="bullet"/>
      <w:lvlText w:val="•"/>
      <w:lvlJc w:val="left"/>
      <w:pPr>
        <w:ind w:left="2945" w:hanging="157"/>
      </w:pPr>
      <w:rPr>
        <w:rFonts w:hint="default"/>
      </w:rPr>
    </w:lvl>
    <w:lvl w:ilvl="5">
      <w:start w:val="0"/>
      <w:numFmt w:val="bullet"/>
      <w:lvlText w:val="•"/>
      <w:lvlJc w:val="left"/>
      <w:pPr>
        <w:ind w:left="3572" w:hanging="157"/>
      </w:pPr>
      <w:rPr>
        <w:rFonts w:hint="default"/>
      </w:rPr>
    </w:lvl>
    <w:lvl w:ilvl="6">
      <w:start w:val="0"/>
      <w:numFmt w:val="bullet"/>
      <w:lvlText w:val="•"/>
      <w:lvlJc w:val="left"/>
      <w:pPr>
        <w:ind w:left="4198" w:hanging="157"/>
      </w:pPr>
      <w:rPr>
        <w:rFonts w:hint="default"/>
      </w:rPr>
    </w:lvl>
    <w:lvl w:ilvl="7">
      <w:start w:val="0"/>
      <w:numFmt w:val="bullet"/>
      <w:lvlText w:val="•"/>
      <w:lvlJc w:val="left"/>
      <w:pPr>
        <w:ind w:left="4824" w:hanging="157"/>
      </w:pPr>
      <w:rPr>
        <w:rFonts w:hint="default"/>
      </w:rPr>
    </w:lvl>
    <w:lvl w:ilvl="8">
      <w:start w:val="0"/>
      <w:numFmt w:val="bullet"/>
      <w:lvlText w:val="•"/>
      <w:lvlJc w:val="left"/>
      <w:pPr>
        <w:ind w:left="5451" w:hanging="157"/>
      </w:pPr>
      <w:rPr>
        <w:rFonts w:hint="default"/>
      </w:rPr>
    </w:lvl>
  </w:abstractNum>
  <w:abstractNum w:abstractNumId="3">
    <w:multiLevelType w:val="hybridMultilevel"/>
    <w:lvl w:ilvl="0">
      <w:start w:val="74"/>
      <w:numFmt w:val="decimal"/>
      <w:lvlText w:val="%1"/>
      <w:lvlJc w:val="left"/>
      <w:pPr>
        <w:ind w:left="100" w:hanging="157"/>
        <w:jc w:val="left"/>
      </w:pPr>
      <w:rPr>
        <w:rFonts w:hint="default" w:ascii="Adobe Jenson Pro Lt Capt" w:hAnsi="Adobe Jenson Pro Lt Capt" w:eastAsia="Adobe Jenson Pro Lt Capt" w:cs="Adobe Jenson Pro Lt Capt"/>
        <w:color w:val="231F20"/>
        <w:w w:val="99"/>
        <w:position w:val="4"/>
        <w:sz w:val="12"/>
        <w:szCs w:val="12"/>
      </w:rPr>
    </w:lvl>
    <w:lvl w:ilvl="1">
      <w:start w:val="0"/>
      <w:numFmt w:val="bullet"/>
      <w:lvlText w:val="•"/>
      <w:lvlJc w:val="left"/>
      <w:pPr>
        <w:ind w:left="760" w:hanging="157"/>
      </w:pPr>
      <w:rPr>
        <w:rFonts w:hint="default"/>
      </w:rPr>
    </w:lvl>
    <w:lvl w:ilvl="2">
      <w:start w:val="0"/>
      <w:numFmt w:val="bullet"/>
      <w:lvlText w:val="•"/>
      <w:lvlJc w:val="left"/>
      <w:pPr>
        <w:ind w:left="1420" w:hanging="157"/>
      </w:pPr>
      <w:rPr>
        <w:rFonts w:hint="default"/>
      </w:rPr>
    </w:lvl>
    <w:lvl w:ilvl="3">
      <w:start w:val="0"/>
      <w:numFmt w:val="bullet"/>
      <w:lvlText w:val="•"/>
      <w:lvlJc w:val="left"/>
      <w:pPr>
        <w:ind w:left="2081" w:hanging="157"/>
      </w:pPr>
      <w:rPr>
        <w:rFonts w:hint="default"/>
      </w:rPr>
    </w:lvl>
    <w:lvl w:ilvl="4">
      <w:start w:val="0"/>
      <w:numFmt w:val="bullet"/>
      <w:lvlText w:val="•"/>
      <w:lvlJc w:val="left"/>
      <w:pPr>
        <w:ind w:left="2741" w:hanging="157"/>
      </w:pPr>
      <w:rPr>
        <w:rFonts w:hint="default"/>
      </w:rPr>
    </w:lvl>
    <w:lvl w:ilvl="5">
      <w:start w:val="0"/>
      <w:numFmt w:val="bullet"/>
      <w:lvlText w:val="•"/>
      <w:lvlJc w:val="left"/>
      <w:pPr>
        <w:ind w:left="3402" w:hanging="157"/>
      </w:pPr>
      <w:rPr>
        <w:rFonts w:hint="default"/>
      </w:rPr>
    </w:lvl>
    <w:lvl w:ilvl="6">
      <w:start w:val="0"/>
      <w:numFmt w:val="bullet"/>
      <w:lvlText w:val="•"/>
      <w:lvlJc w:val="left"/>
      <w:pPr>
        <w:ind w:left="4062" w:hanging="157"/>
      </w:pPr>
      <w:rPr>
        <w:rFonts w:hint="default"/>
      </w:rPr>
    </w:lvl>
    <w:lvl w:ilvl="7">
      <w:start w:val="0"/>
      <w:numFmt w:val="bullet"/>
      <w:lvlText w:val="•"/>
      <w:lvlJc w:val="left"/>
      <w:pPr>
        <w:ind w:left="4722" w:hanging="157"/>
      </w:pPr>
      <w:rPr>
        <w:rFonts w:hint="default"/>
      </w:rPr>
    </w:lvl>
    <w:lvl w:ilvl="8">
      <w:start w:val="0"/>
      <w:numFmt w:val="bullet"/>
      <w:lvlText w:val="•"/>
      <w:lvlJc w:val="left"/>
      <w:pPr>
        <w:ind w:left="5383" w:hanging="157"/>
      </w:pPr>
      <w:rPr>
        <w:rFonts w:hint="default"/>
      </w:rPr>
    </w:lvl>
  </w:abstractNum>
  <w:abstractNum w:abstractNumId="2">
    <w:multiLevelType w:val="hybridMultilevel"/>
    <w:lvl w:ilvl="0">
      <w:start w:val="51"/>
      <w:numFmt w:val="decimal"/>
      <w:lvlText w:val="%1"/>
      <w:lvlJc w:val="left"/>
      <w:pPr>
        <w:ind w:left="100" w:hanging="157"/>
        <w:jc w:val="left"/>
      </w:pPr>
      <w:rPr>
        <w:rFonts w:hint="default"/>
        <w:w w:val="99"/>
        <w:position w:val="4"/>
      </w:rPr>
    </w:lvl>
    <w:lvl w:ilvl="1">
      <w:start w:val="0"/>
      <w:numFmt w:val="bullet"/>
      <w:lvlText w:val="•"/>
      <w:lvlJc w:val="left"/>
      <w:pPr>
        <w:ind w:left="760" w:hanging="157"/>
      </w:pPr>
      <w:rPr>
        <w:rFonts w:hint="default"/>
      </w:rPr>
    </w:lvl>
    <w:lvl w:ilvl="2">
      <w:start w:val="0"/>
      <w:numFmt w:val="bullet"/>
      <w:lvlText w:val="•"/>
      <w:lvlJc w:val="left"/>
      <w:pPr>
        <w:ind w:left="1420" w:hanging="157"/>
      </w:pPr>
      <w:rPr>
        <w:rFonts w:hint="default"/>
      </w:rPr>
    </w:lvl>
    <w:lvl w:ilvl="3">
      <w:start w:val="0"/>
      <w:numFmt w:val="bullet"/>
      <w:lvlText w:val="•"/>
      <w:lvlJc w:val="left"/>
      <w:pPr>
        <w:ind w:left="2081" w:hanging="157"/>
      </w:pPr>
      <w:rPr>
        <w:rFonts w:hint="default"/>
      </w:rPr>
    </w:lvl>
    <w:lvl w:ilvl="4">
      <w:start w:val="0"/>
      <w:numFmt w:val="bullet"/>
      <w:lvlText w:val="•"/>
      <w:lvlJc w:val="left"/>
      <w:pPr>
        <w:ind w:left="2741" w:hanging="157"/>
      </w:pPr>
      <w:rPr>
        <w:rFonts w:hint="default"/>
      </w:rPr>
    </w:lvl>
    <w:lvl w:ilvl="5">
      <w:start w:val="0"/>
      <w:numFmt w:val="bullet"/>
      <w:lvlText w:val="•"/>
      <w:lvlJc w:val="left"/>
      <w:pPr>
        <w:ind w:left="3402" w:hanging="157"/>
      </w:pPr>
      <w:rPr>
        <w:rFonts w:hint="default"/>
      </w:rPr>
    </w:lvl>
    <w:lvl w:ilvl="6">
      <w:start w:val="0"/>
      <w:numFmt w:val="bullet"/>
      <w:lvlText w:val="•"/>
      <w:lvlJc w:val="left"/>
      <w:pPr>
        <w:ind w:left="4062" w:hanging="157"/>
      </w:pPr>
      <w:rPr>
        <w:rFonts w:hint="default"/>
      </w:rPr>
    </w:lvl>
    <w:lvl w:ilvl="7">
      <w:start w:val="0"/>
      <w:numFmt w:val="bullet"/>
      <w:lvlText w:val="•"/>
      <w:lvlJc w:val="left"/>
      <w:pPr>
        <w:ind w:left="4722" w:hanging="157"/>
      </w:pPr>
      <w:rPr>
        <w:rFonts w:hint="default"/>
      </w:rPr>
    </w:lvl>
    <w:lvl w:ilvl="8">
      <w:start w:val="0"/>
      <w:numFmt w:val="bullet"/>
      <w:lvlText w:val="•"/>
      <w:lvlJc w:val="left"/>
      <w:pPr>
        <w:ind w:left="5383" w:hanging="157"/>
      </w:pPr>
      <w:rPr>
        <w:rFonts w:hint="default"/>
      </w:rPr>
    </w:lvl>
  </w:abstractNum>
  <w:abstractNum w:abstractNumId="1">
    <w:multiLevelType w:val="hybridMultilevel"/>
    <w:lvl w:ilvl="0">
      <w:start w:val="34"/>
      <w:numFmt w:val="decimal"/>
      <w:lvlText w:val="%1"/>
      <w:lvlJc w:val="left"/>
      <w:pPr>
        <w:ind w:left="100" w:hanging="157"/>
        <w:jc w:val="left"/>
      </w:pPr>
      <w:rPr>
        <w:rFonts w:hint="default" w:ascii="Adobe Jenson Pro Lt Capt" w:hAnsi="Adobe Jenson Pro Lt Capt" w:eastAsia="Adobe Jenson Pro Lt Capt" w:cs="Adobe Jenson Pro Lt Capt"/>
        <w:color w:val="231F20"/>
        <w:w w:val="99"/>
        <w:position w:val="4"/>
        <w:sz w:val="12"/>
        <w:szCs w:val="12"/>
      </w:rPr>
    </w:lvl>
    <w:lvl w:ilvl="1">
      <w:start w:val="0"/>
      <w:numFmt w:val="bullet"/>
      <w:lvlText w:val="•"/>
      <w:lvlJc w:val="left"/>
      <w:pPr>
        <w:ind w:left="760" w:hanging="157"/>
      </w:pPr>
      <w:rPr>
        <w:rFonts w:hint="default"/>
      </w:rPr>
    </w:lvl>
    <w:lvl w:ilvl="2">
      <w:start w:val="0"/>
      <w:numFmt w:val="bullet"/>
      <w:lvlText w:val="•"/>
      <w:lvlJc w:val="left"/>
      <w:pPr>
        <w:ind w:left="1420" w:hanging="157"/>
      </w:pPr>
      <w:rPr>
        <w:rFonts w:hint="default"/>
      </w:rPr>
    </w:lvl>
    <w:lvl w:ilvl="3">
      <w:start w:val="0"/>
      <w:numFmt w:val="bullet"/>
      <w:lvlText w:val="•"/>
      <w:lvlJc w:val="left"/>
      <w:pPr>
        <w:ind w:left="2081" w:hanging="157"/>
      </w:pPr>
      <w:rPr>
        <w:rFonts w:hint="default"/>
      </w:rPr>
    </w:lvl>
    <w:lvl w:ilvl="4">
      <w:start w:val="0"/>
      <w:numFmt w:val="bullet"/>
      <w:lvlText w:val="•"/>
      <w:lvlJc w:val="left"/>
      <w:pPr>
        <w:ind w:left="2741" w:hanging="157"/>
      </w:pPr>
      <w:rPr>
        <w:rFonts w:hint="default"/>
      </w:rPr>
    </w:lvl>
    <w:lvl w:ilvl="5">
      <w:start w:val="0"/>
      <w:numFmt w:val="bullet"/>
      <w:lvlText w:val="•"/>
      <w:lvlJc w:val="left"/>
      <w:pPr>
        <w:ind w:left="3402" w:hanging="157"/>
      </w:pPr>
      <w:rPr>
        <w:rFonts w:hint="default"/>
      </w:rPr>
    </w:lvl>
    <w:lvl w:ilvl="6">
      <w:start w:val="0"/>
      <w:numFmt w:val="bullet"/>
      <w:lvlText w:val="•"/>
      <w:lvlJc w:val="left"/>
      <w:pPr>
        <w:ind w:left="4062" w:hanging="157"/>
      </w:pPr>
      <w:rPr>
        <w:rFonts w:hint="default"/>
      </w:rPr>
    </w:lvl>
    <w:lvl w:ilvl="7">
      <w:start w:val="0"/>
      <w:numFmt w:val="bullet"/>
      <w:lvlText w:val="•"/>
      <w:lvlJc w:val="left"/>
      <w:pPr>
        <w:ind w:left="4722" w:hanging="157"/>
      </w:pPr>
      <w:rPr>
        <w:rFonts w:hint="default"/>
      </w:rPr>
    </w:lvl>
    <w:lvl w:ilvl="8">
      <w:start w:val="0"/>
      <w:numFmt w:val="bullet"/>
      <w:lvlText w:val="•"/>
      <w:lvlJc w:val="left"/>
      <w:pPr>
        <w:ind w:left="5383" w:hanging="157"/>
      </w:pPr>
      <w:rPr>
        <w:rFonts w:hint="default"/>
      </w:rPr>
    </w:lvl>
  </w:abstractNum>
  <w:abstractNum w:abstractNumId="0">
    <w:multiLevelType w:val="hybridMultilevel"/>
    <w:lvl w:ilvl="0">
      <w:start w:val="1"/>
      <w:numFmt w:val="upperRoman"/>
      <w:lvlText w:val="%1."/>
      <w:lvlJc w:val="left"/>
      <w:pPr>
        <w:ind w:left="315" w:hanging="215"/>
        <w:jc w:val="left"/>
      </w:pPr>
      <w:rPr>
        <w:rFonts w:hint="default" w:ascii="Georgia" w:hAnsi="Georgia" w:eastAsia="Georgia" w:cs="Georgia"/>
        <w:color w:val="231F20"/>
        <w:w w:val="96"/>
        <w:sz w:val="25"/>
        <w:szCs w:val="25"/>
      </w:rPr>
    </w:lvl>
    <w:lvl w:ilvl="1">
      <w:start w:val="1"/>
      <w:numFmt w:val="decimal"/>
      <w:lvlText w:val="%2"/>
      <w:lvlJc w:val="left"/>
      <w:pPr>
        <w:ind w:left="100" w:hanging="95"/>
        <w:jc w:val="left"/>
      </w:pPr>
      <w:rPr>
        <w:rFonts w:hint="default" w:ascii="Adobe Jenson Pro Lt Capt" w:hAnsi="Adobe Jenson Pro Lt Capt" w:eastAsia="Adobe Jenson Pro Lt Capt" w:cs="Adobe Jenson Pro Lt Capt"/>
        <w:color w:val="231F20"/>
        <w:w w:val="99"/>
        <w:position w:val="4"/>
        <w:sz w:val="12"/>
        <w:szCs w:val="12"/>
      </w:rPr>
    </w:lvl>
    <w:lvl w:ilvl="2">
      <w:start w:val="0"/>
      <w:numFmt w:val="bullet"/>
      <w:lvlText w:val="•"/>
      <w:lvlJc w:val="left"/>
      <w:pPr>
        <w:ind w:left="1029" w:hanging="95"/>
      </w:pPr>
      <w:rPr>
        <w:rFonts w:hint="default"/>
      </w:rPr>
    </w:lvl>
    <w:lvl w:ilvl="3">
      <w:start w:val="0"/>
      <w:numFmt w:val="bullet"/>
      <w:lvlText w:val="•"/>
      <w:lvlJc w:val="left"/>
      <w:pPr>
        <w:ind w:left="1738" w:hanging="95"/>
      </w:pPr>
      <w:rPr>
        <w:rFonts w:hint="default"/>
      </w:rPr>
    </w:lvl>
    <w:lvl w:ilvl="4">
      <w:start w:val="0"/>
      <w:numFmt w:val="bullet"/>
      <w:lvlText w:val="•"/>
      <w:lvlJc w:val="left"/>
      <w:pPr>
        <w:ind w:left="2448" w:hanging="95"/>
      </w:pPr>
      <w:rPr>
        <w:rFonts w:hint="default"/>
      </w:rPr>
    </w:lvl>
    <w:lvl w:ilvl="5">
      <w:start w:val="0"/>
      <w:numFmt w:val="bullet"/>
      <w:lvlText w:val="•"/>
      <w:lvlJc w:val="left"/>
      <w:pPr>
        <w:ind w:left="3157" w:hanging="95"/>
      </w:pPr>
      <w:rPr>
        <w:rFonts w:hint="default"/>
      </w:rPr>
    </w:lvl>
    <w:lvl w:ilvl="6">
      <w:start w:val="0"/>
      <w:numFmt w:val="bullet"/>
      <w:lvlText w:val="•"/>
      <w:lvlJc w:val="left"/>
      <w:pPr>
        <w:ind w:left="3866" w:hanging="95"/>
      </w:pPr>
      <w:rPr>
        <w:rFonts w:hint="default"/>
      </w:rPr>
    </w:lvl>
    <w:lvl w:ilvl="7">
      <w:start w:val="0"/>
      <w:numFmt w:val="bullet"/>
      <w:lvlText w:val="•"/>
      <w:lvlJc w:val="left"/>
      <w:pPr>
        <w:ind w:left="4576" w:hanging="95"/>
      </w:pPr>
      <w:rPr>
        <w:rFonts w:hint="default"/>
      </w:rPr>
    </w:lvl>
    <w:lvl w:ilvl="8">
      <w:start w:val="0"/>
      <w:numFmt w:val="bullet"/>
      <w:lvlText w:val="•"/>
      <w:lvlJc w:val="left"/>
      <w:pPr>
        <w:ind w:left="5285" w:hanging="95"/>
      </w:pPr>
      <w:rPr>
        <w:rFonts w:hint="default"/>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Georgia" w:hAnsi="Georgia" w:eastAsia="Georgia" w:cs="Georgia"/>
    </w:rPr>
  </w:style>
  <w:style w:styleId="BodyText" w:type="paragraph">
    <w:name w:val="Body Text"/>
    <w:basedOn w:val="Normal"/>
    <w:uiPriority w:val="1"/>
    <w:qFormat/>
    <w:pPr>
      <w:ind w:left="100"/>
      <w:jc w:val="both"/>
    </w:pPr>
    <w:rPr>
      <w:rFonts w:ascii="Georgia" w:hAnsi="Georgia" w:eastAsia="Georgia" w:cs="Georgia"/>
      <w:sz w:val="19"/>
      <w:szCs w:val="19"/>
    </w:rPr>
  </w:style>
  <w:style w:styleId="Heading1" w:type="paragraph">
    <w:name w:val="Heading 1"/>
    <w:basedOn w:val="Normal"/>
    <w:uiPriority w:val="1"/>
    <w:qFormat/>
    <w:pPr>
      <w:ind w:left="315" w:hanging="420"/>
      <w:outlineLvl w:val="1"/>
    </w:pPr>
    <w:rPr>
      <w:rFonts w:ascii="Georgia" w:hAnsi="Georgia" w:eastAsia="Georgia" w:cs="Georgia"/>
      <w:sz w:val="25"/>
      <w:szCs w:val="25"/>
    </w:rPr>
  </w:style>
  <w:style w:styleId="Heading2" w:type="paragraph">
    <w:name w:val="Heading 2"/>
    <w:basedOn w:val="Normal"/>
    <w:uiPriority w:val="1"/>
    <w:qFormat/>
    <w:pPr>
      <w:spacing w:before="1"/>
      <w:ind w:left="101"/>
      <w:jc w:val="both"/>
      <w:outlineLvl w:val="2"/>
    </w:pPr>
    <w:rPr>
      <w:rFonts w:ascii="Palatino Linotype" w:hAnsi="Palatino Linotype" w:eastAsia="Palatino Linotype" w:cs="Palatino Linotype"/>
      <w:b/>
      <w:bCs/>
      <w:sz w:val="19"/>
      <w:szCs w:val="19"/>
    </w:rPr>
  </w:style>
  <w:style w:styleId="ListParagraph" w:type="paragraph">
    <w:name w:val="List Paragraph"/>
    <w:basedOn w:val="Normal"/>
    <w:uiPriority w:val="1"/>
    <w:qFormat/>
    <w:pPr>
      <w:ind w:left="100" w:right="121" w:firstLine="182"/>
      <w:jc w:val="both"/>
    </w:pPr>
    <w:rPr>
      <w:rFonts w:ascii="Palatino Linotype" w:hAnsi="Palatino Linotype" w:eastAsia="Palatino Linotype" w:cs="Palatino Linotype"/>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yperlink" Target="http://www.brookings.edu/idp" TargetMode="External"/><Relationship Id="rId8" Type="http://schemas.openxmlformats.org/officeDocument/2006/relationships/hyperlink" Target="http://www.icrc.org/Web/Eng/siteeng0.nsf/html/idp-icrc-position-03" TargetMode="External"/><Relationship Id="rId9" Type="http://schemas.openxmlformats.org/officeDocument/2006/relationships/hyperlink" Target="http://www3/" TargetMode="External"/><Relationship Id="rId10" Type="http://schemas.openxmlformats.org/officeDocument/2006/relationships/hyperlink" Target="http://www.ucdp.uu.se/" TargetMode="External"/><Relationship Id="rId11" Type="http://schemas.openxmlformats.org/officeDocument/2006/relationships/hyperlink" Target="http://www.iom.int/jahia/jsp/" TargetMode="External"/><Relationship Id="rId12" Type="http://schemas.openxmlformats.org/officeDocument/2006/relationships/hyperlink" Target="http://www.unhcr.org/cgi-bin/texis/vtx/iraq" TargetMode="External"/><Relationship Id="rId13" Type="http://schemas.openxmlformats.org/officeDocument/2006/relationships/hyperlink" Target="http://www.iom-iraq.net/library.html" TargetMode="External"/><Relationship Id="rId14" Type="http://schemas.openxmlformats.org/officeDocument/2006/relationships/hyperlink" Target="http://www.brookings.edu/papers/2007/0706humanrights_" TargetMode="External"/><Relationship Id="rId15" Type="http://schemas.openxmlformats.org/officeDocument/2006/relationships/hyperlink" Target="http://www.irinnews.org/report.aspx?ReportID=77990" TargetMode="External"/><Relationship Id="rId16" Type="http://schemas.openxmlformats.org/officeDocument/2006/relationships/hyperlink" Target="http://www.unhcr.org/cgi-bin/texis/vtx/iraq?page=brie&#64257;ng&amp;id=47f20efd6" TargetMode="External"/><Relationship Id="rId17" Type="http://schemas.openxmlformats.org/officeDocument/2006/relationships/hyperlink" Target="http://www.unhcr.ba/press/state" TargetMode="External"/><Relationship Id="rId18" Type="http://schemas.openxmlformats.org/officeDocument/2006/relationships/hyperlink" Target="http://www.reliefweb.int/rw/rwb.nsf/db900sid/EMAE-76CPGQ" TargetMode="External"/><Relationship Id="rId19" Type="http://schemas.openxmlformats.org/officeDocument/2006/relationships/hyperlink" Target="http://www.savedarfur.org/pages/background/" TargetMode="External"/><Relationship Id="rId20" Type="http://schemas.openxmlformats.org/officeDocument/2006/relationships/hyperlink" Target="http://books.sipri.org/" TargetMode="External"/><Relationship Id="rId21" Type="http://schemas.openxmlformats.org/officeDocument/2006/relationships/hyperlink" Target="http://www.unhchr.ch/html/menu2/7/b/principles.htm" TargetMode="External"/><Relationship Id="rId22" Type="http://schemas.openxmlformats.org/officeDocument/2006/relationships/hyperlink" Target="http://www.un.org/summit2005/documents" TargetMode="External"/><Relationship Id="rId23" Type="http://schemas.openxmlformats.org/officeDocument/2006/relationships/hyperlink" Target="http://www.unhcr.org/" TargetMode="External"/><Relationship Id="rId24" Type="http://schemas.openxmlformats.org/officeDocument/2006/relationships/hyperlink" Target="http://www.odi.org.uk/events/Benn15Dec/Humani" TargetMode="External"/><Relationship Id="rId25" Type="http://schemas.openxmlformats.org/officeDocument/2006/relationships/hyperlink" Target="http://repository.forcedmigration/" TargetMode="External"/><Relationship Id="rId26" Type="http://schemas.openxmlformats.org/officeDocument/2006/relationships/hyperlink" Target="http://www.internal-displacement.org/" TargetMode="External"/><Relationship Id="rId27" Type="http://schemas.openxmlformats.org/officeDocument/2006/relationships/hyperlink" Target="http://www.cnn.com/2008/" TargetMode="External"/><Relationship Id="rId28" Type="http://schemas.openxmlformats.org/officeDocument/2006/relationships/hyperlink" Target="http://www.humanitarianreform.org/Default.aspx?tabid=457" TargetMode="External"/><Relationship Id="rId29" Type="http://schemas.openxmlformats.org/officeDocument/2006/relationships/hyperlink" Target="http://ocha.unog.ch/ProCapOnline/" TargetMode="External"/><Relationship Id="rId30" Type="http://schemas.openxmlformats.org/officeDocument/2006/relationships/hyperlink" Target="http://ochaonline.un.org/" TargetMode="External"/><Relationship Id="rId31" Type="http://schemas.openxmlformats.org/officeDocument/2006/relationships/hyperlink" Target="http://www.brookings.edu/opinions/2008/06_disaster_" TargetMode="External"/><Relationship Id="rId32" Type="http://schemas.openxmlformats.org/officeDocument/2006/relationships/hyperlink" Target="http://www.monuc.org/News.aspx?newsId=18325" TargetMode="External"/><Relationship Id="rId33" Type="http://schemas.openxmlformats.org/officeDocument/2006/relationships/hyperlink" Target="http://www.unis.unvienna.org/unis/pressrels/2005/sgsm10145.html" TargetMode="External"/><Relationship Id="rId34" Type="http://schemas.openxmlformats.org/officeDocument/2006/relationships/hyperlink" Target="http://www.usip.org/fellows/reports/2006/" TargetMode="External"/><Relationship Id="rId35" Type="http://schemas.openxmlformats.org/officeDocument/2006/relationships/hyperlink" Target="http://www.irinnews.org/Report.aspx?Report" TargetMode="External"/><Relationship Id="rId36" Type="http://schemas.openxmlformats.org/officeDocument/2006/relationships/hyperlink" Target="http://www.brookings.edu/papers/2008/02_displacement.aspx?p=1" TargetMode="External"/><Relationship Id="rId37" Type="http://schemas.openxmlformats.org/officeDocument/2006/relationships/hyperlink" Target="http://www.brookings.edu/speeches/2008/0313_internal_displacement_kalin.aspx" TargetMode="External"/><Relationship Id="rId38" Type="http://schemas.openxmlformats.org/officeDocument/2006/relationships/hyperlink" Target="http://www.un.org/ga/59/docu" TargetMode="External"/><Relationship Id="rId39" Type="http://schemas.openxmlformats.org/officeDocument/2006/relationships/hyperlink" Target="http://www.wilsoncenter.org/topics/pubs/OCpaper.pdf" TargetMode="External"/><Relationship Id="rId4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Stockholm International Peace Research Institute</dc:creator>
  <dc:title>SIPRI Yearbook 2009: Armaments, Disarmament and International Security</dc:title>
  <dcterms:created xsi:type="dcterms:W3CDTF">2021-01-13T16:21:30Z</dcterms:created>
  <dcterms:modified xsi:type="dcterms:W3CDTF">2021-01-13T16:21:30Z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2009-05-18T00:00:00Z</vt:filetime>
  </property>
  <property fmtid="{D5CDD505-2E9C-101B-9397-08002B2CF9AE}" pid="3" name="Creator">
    <vt:lpwstr>Microsoft Word: cgpdftops CUPS filter</vt:lpwstr>
  </property>
  <property fmtid="{D5CDD505-2E9C-101B-9397-08002B2CF9AE}" pid="4" name="LastSaved">
    <vt:filetime>2021-01-13T00:00:00Z</vt:filetime>
  </property>
</Properties>
</file>